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51" w:rsidRPr="005D31E5" w:rsidRDefault="009466F5" w:rsidP="007C7D51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Academy" w:hAnsi="Academy"/>
          <w:noProof/>
          <w:lang w:val="ro-M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6.4pt;margin-top:7.9pt;width:57.8pt;height:64.35pt;z-index:251663360;mso-wrap-distance-left:9.05pt;mso-wrap-distance-right:9.05pt;mso-position-horizontal-relative:page" o:allowincell="f">
            <v:imagedata r:id="rId5" o:title=""/>
            <w10:wrap type="square" anchorx="page"/>
          </v:shape>
          <o:OLEObject Type="Embed" ProgID="Word.Picture.8" ShapeID="_x0000_s1029" DrawAspect="Content" ObjectID="_1767186135" r:id="rId6"/>
        </w:object>
      </w:r>
      <w:r w:rsidR="007C7D51" w:rsidRPr="005D31E5"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77554</wp:posOffset>
                </wp:positionV>
                <wp:extent cx="4875530" cy="96012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55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7D51" w:rsidRPr="007C7D51" w:rsidRDefault="007C7D51" w:rsidP="007C7D51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D5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MINISTERUL FINANȚELOR AL REPUBLICII MOLDOVA</w:t>
                            </w:r>
                          </w:p>
                          <w:p w:rsidR="007C7D51" w:rsidRPr="007C7D51" w:rsidRDefault="007C7D51" w:rsidP="007C7D51">
                            <w:pPr>
                              <w:pBdr>
                                <w:left w:val="single" w:sz="18" w:space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D5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SERVICIUL FISCAL DE STAT</w:t>
                            </w:r>
                          </w:p>
                          <w:p w:rsidR="007C7D51" w:rsidRPr="007C7D51" w:rsidRDefault="007C7D51" w:rsidP="007C7D51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7D5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MINISTRY OF FINANCE OF THE REPUBLIC OF MOLDOVA</w:t>
                            </w:r>
                          </w:p>
                          <w:p w:rsidR="007C7D51" w:rsidRPr="0053341C" w:rsidRDefault="007C7D51" w:rsidP="007C7D51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3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STATE TAX SERVICE</w:t>
                            </w:r>
                          </w:p>
                          <w:p w:rsidR="007C7D51" w:rsidRPr="00B23F14" w:rsidRDefault="007C7D51" w:rsidP="007C7D51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:rsidR="007C7D51" w:rsidRPr="00B23F14" w:rsidRDefault="007C7D51" w:rsidP="007C7D5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C7D51" w:rsidRPr="00B23F14" w:rsidRDefault="007C7D51" w:rsidP="007C7D5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6.1pt;width:383.9pt;height:75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" stroked="f" strokeweight=".25pt">
                <v:textbox inset="1pt,1pt,1pt,1pt">
                  <w:txbxContent>
                    <w:p w:rsidR="007C7D51" w:rsidRPr="007C7D51" w:rsidRDefault="007C7D51" w:rsidP="007C7D51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7D5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MINISTERUL FINANȚELOR AL REPUBLICII MOLDOVA</w:t>
                      </w:r>
                    </w:p>
                    <w:p w:rsidR="007C7D51" w:rsidRPr="007C7D51" w:rsidRDefault="007C7D51" w:rsidP="007C7D51">
                      <w:pPr>
                        <w:pBdr>
                          <w:left w:val="single" w:sz="18" w:space="4" w:color="auto"/>
                        </w:pBd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C7D5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SERVICIUL FISCAL DE STAT</w:t>
                      </w:r>
                    </w:p>
                    <w:p w:rsidR="007C7D51" w:rsidRPr="007C7D51" w:rsidRDefault="007C7D51" w:rsidP="007C7D51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7C7D5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MINISTRY OF FINANCE OF THE REPUBLIC OF MOLDOVA</w:t>
                      </w:r>
                    </w:p>
                    <w:p w:rsidR="007C7D51" w:rsidRPr="0053341C" w:rsidRDefault="007C7D51" w:rsidP="007C7D51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STATE TAX SERVICE</w:t>
                      </w:r>
                    </w:p>
                    <w:p w:rsidR="007C7D51" w:rsidRPr="00B23F14" w:rsidRDefault="007C7D51" w:rsidP="007C7D51">
                      <w:pPr>
                        <w:pStyle w:val="Heading1"/>
                        <w:rPr>
                          <w:rFonts w:ascii="Times New Roman" w:hAnsi="Times New Roman"/>
                          <w:b/>
                          <w:szCs w:val="22"/>
                          <w:lang w:val="en-US"/>
                        </w:rPr>
                      </w:pPr>
                    </w:p>
                    <w:p w:rsidR="007C7D51" w:rsidRPr="00B23F14" w:rsidRDefault="007C7D51" w:rsidP="007C7D5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C7D51" w:rsidRPr="00B23F14" w:rsidRDefault="007C7D51" w:rsidP="007C7D5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7D51" w:rsidRPr="005D31E5" w:rsidRDefault="007C7D51" w:rsidP="007C7D51">
      <w:pPr>
        <w:rPr>
          <w:lang w:val="ro-MD"/>
        </w:rPr>
      </w:pPr>
    </w:p>
    <w:p w:rsidR="007C7D51" w:rsidRPr="005D31E5" w:rsidRDefault="007C7D51" w:rsidP="007C7D51">
      <w:pPr>
        <w:jc w:val="center"/>
        <w:rPr>
          <w:rFonts w:ascii="Arial" w:hAnsi="Arial"/>
          <w:sz w:val="16"/>
          <w:lang w:val="ro-MD"/>
        </w:rPr>
      </w:pPr>
    </w:p>
    <w:p w:rsidR="007C7D51" w:rsidRPr="005D31E5" w:rsidRDefault="007C7D51" w:rsidP="007C7D51">
      <w:pPr>
        <w:jc w:val="center"/>
        <w:rPr>
          <w:rFonts w:ascii="Arial" w:hAnsi="Arial"/>
          <w:sz w:val="16"/>
          <w:lang w:val="ro-MD"/>
        </w:rPr>
      </w:pPr>
    </w:p>
    <w:p w:rsidR="007C7D51" w:rsidRPr="005D31E5" w:rsidRDefault="007C7D51" w:rsidP="007C7D51">
      <w:pPr>
        <w:jc w:val="center"/>
        <w:rPr>
          <w:rFonts w:ascii="Arial" w:hAnsi="Arial"/>
          <w:sz w:val="16"/>
          <w:lang w:val="ro-MD"/>
        </w:rPr>
      </w:pPr>
    </w:p>
    <w:p w:rsidR="007C7D51" w:rsidRPr="005D31E5" w:rsidRDefault="007C7D51" w:rsidP="007C7D51">
      <w:pPr>
        <w:jc w:val="center"/>
        <w:rPr>
          <w:rFonts w:ascii="Arial" w:hAnsi="Arial"/>
          <w:sz w:val="28"/>
          <w:szCs w:val="28"/>
          <w:lang w:val="ro-MD"/>
        </w:rPr>
      </w:pPr>
      <w:r w:rsidRPr="005D31E5">
        <w:rPr>
          <w:rFonts w:ascii="Times New Roman" w:hAnsi="Times New Roman"/>
          <w:b/>
          <w:sz w:val="28"/>
          <w:szCs w:val="28"/>
          <w:lang w:val="ro-MD"/>
        </w:rPr>
        <w:t>ORDIN</w:t>
      </w:r>
    </w:p>
    <w:p w:rsidR="00AE0895" w:rsidRPr="005D31E5" w:rsidRDefault="00AE0895" w:rsidP="00AE0895">
      <w:pPr>
        <w:spacing w:after="120"/>
        <w:rPr>
          <w:rFonts w:ascii="Times New Roman" w:hAnsi="Times New Roman"/>
          <w:b/>
          <w:sz w:val="26"/>
          <w:szCs w:val="26"/>
          <w:lang w:val="ro-MD"/>
        </w:rPr>
      </w:pPr>
      <w:r w:rsidRPr="005D31E5">
        <w:rPr>
          <w:rFonts w:ascii="Times New Roman" w:hAnsi="Times New Roman"/>
          <w:b/>
          <w:sz w:val="26"/>
          <w:szCs w:val="26"/>
          <w:lang w:val="ro-MD"/>
        </w:rPr>
        <w:t xml:space="preserve">Nr. ____ </w:t>
      </w:r>
    </w:p>
    <w:p w:rsidR="00AE0895" w:rsidRPr="005D31E5" w:rsidRDefault="00AE0895" w:rsidP="00AE0895">
      <w:pPr>
        <w:spacing w:after="120"/>
        <w:rPr>
          <w:rFonts w:ascii="Times New Roman" w:hAnsi="Times New Roman"/>
          <w:b/>
          <w:sz w:val="26"/>
          <w:szCs w:val="26"/>
          <w:lang w:val="ro-MD"/>
        </w:rPr>
      </w:pPr>
      <w:r w:rsidRPr="005D31E5">
        <w:rPr>
          <w:rFonts w:ascii="Times New Roman" w:hAnsi="Times New Roman"/>
          <w:b/>
          <w:sz w:val="26"/>
          <w:szCs w:val="26"/>
          <w:lang w:val="ro-MD"/>
        </w:rPr>
        <w:t xml:space="preserve">din ____ </w:t>
      </w:r>
      <w:r w:rsidR="003F4E23">
        <w:rPr>
          <w:rFonts w:ascii="Times New Roman" w:hAnsi="Times New Roman"/>
          <w:b/>
          <w:sz w:val="26"/>
          <w:szCs w:val="26"/>
          <w:lang w:val="ro-MD"/>
        </w:rPr>
        <w:t>________</w:t>
      </w:r>
      <w:r w:rsidR="006C4EA2">
        <w:rPr>
          <w:rFonts w:ascii="Times New Roman" w:hAnsi="Times New Roman"/>
          <w:b/>
          <w:sz w:val="26"/>
          <w:szCs w:val="26"/>
          <w:lang w:val="ro-MD"/>
        </w:rPr>
        <w:t>2024</w:t>
      </w:r>
      <w:r w:rsidRPr="005D31E5">
        <w:rPr>
          <w:rFonts w:ascii="Times New Roman" w:hAnsi="Times New Roman"/>
          <w:b/>
          <w:sz w:val="26"/>
          <w:szCs w:val="26"/>
          <w:lang w:val="ro-MD"/>
        </w:rPr>
        <w:t xml:space="preserve">   </w:t>
      </w:r>
    </w:p>
    <w:p w:rsidR="0049229D" w:rsidRDefault="00AE0895" w:rsidP="00A832E7">
      <w:pPr>
        <w:spacing w:after="0" w:line="240" w:lineRule="auto"/>
        <w:ind w:right="450"/>
        <w:jc w:val="both"/>
        <w:rPr>
          <w:rFonts w:ascii="Times New Roman" w:hAnsi="Times New Roman"/>
          <w:i/>
          <w:sz w:val="20"/>
          <w:lang w:val="ro-RO" w:eastAsia="ru-RU"/>
        </w:rPr>
      </w:pPr>
      <w:r w:rsidRPr="00A832E7">
        <w:rPr>
          <w:rFonts w:ascii="Times New Roman" w:eastAsia="Calibri" w:hAnsi="Times New Roman"/>
          <w:i/>
          <w:sz w:val="20"/>
          <w:lang w:val="ro-RO"/>
        </w:rPr>
        <w:t xml:space="preserve">Cu privire </w:t>
      </w:r>
      <w:r w:rsidRPr="00A832E7">
        <w:rPr>
          <w:rFonts w:ascii="Times New Roman" w:hAnsi="Times New Roman"/>
          <w:i/>
          <w:sz w:val="20"/>
          <w:lang w:val="ro-RO" w:eastAsia="ru-RU"/>
        </w:rPr>
        <w:t xml:space="preserve">la </w:t>
      </w:r>
      <w:r w:rsidR="00A832E7" w:rsidRPr="00A832E7">
        <w:rPr>
          <w:rFonts w:ascii="Times New Roman" w:hAnsi="Times New Roman"/>
          <w:i/>
          <w:sz w:val="20"/>
          <w:lang w:val="ro-RO" w:eastAsia="ru-RU"/>
        </w:rPr>
        <w:t>aprobarea formularului</w:t>
      </w:r>
      <w:r w:rsidR="0049229D">
        <w:rPr>
          <w:rFonts w:ascii="Times New Roman" w:hAnsi="Times New Roman"/>
          <w:i/>
          <w:sz w:val="20"/>
          <w:lang w:val="ro-RO" w:eastAsia="ru-RU"/>
        </w:rPr>
        <w:t xml:space="preserve"> </w:t>
      </w:r>
      <w:r w:rsidR="00A832E7" w:rsidRPr="00A832E7">
        <w:rPr>
          <w:rFonts w:ascii="Times New Roman" w:hAnsi="Times New Roman"/>
          <w:i/>
          <w:sz w:val="20"/>
          <w:lang w:val="ro-RO" w:eastAsia="ru-RU"/>
        </w:rPr>
        <w:t>Declarației</w:t>
      </w:r>
    </w:p>
    <w:p w:rsidR="0049229D" w:rsidRDefault="00A832E7" w:rsidP="00A832E7">
      <w:pPr>
        <w:spacing w:after="0" w:line="240" w:lineRule="auto"/>
        <w:ind w:right="450"/>
        <w:jc w:val="both"/>
        <w:rPr>
          <w:rFonts w:ascii="Times New Roman" w:hAnsi="Times New Roman"/>
          <w:i/>
          <w:sz w:val="20"/>
          <w:lang w:val="ro-RO" w:eastAsia="ru-RU"/>
        </w:rPr>
      </w:pPr>
      <w:r w:rsidRPr="00A832E7">
        <w:rPr>
          <w:rFonts w:ascii="Times New Roman" w:hAnsi="Times New Roman"/>
          <w:i/>
          <w:sz w:val="20"/>
          <w:lang w:val="ro-RO" w:eastAsia="ru-RU"/>
        </w:rPr>
        <w:t>cu privire la dividendele și defalcările</w:t>
      </w:r>
      <w:r w:rsidR="0049229D">
        <w:rPr>
          <w:rFonts w:ascii="Times New Roman" w:hAnsi="Times New Roman"/>
          <w:i/>
          <w:sz w:val="20"/>
          <w:lang w:val="ro-RO" w:eastAsia="ru-RU"/>
        </w:rPr>
        <w:t xml:space="preserve"> </w:t>
      </w:r>
      <w:r w:rsidRPr="00A832E7">
        <w:rPr>
          <w:rFonts w:ascii="Times New Roman" w:hAnsi="Times New Roman"/>
          <w:i/>
          <w:sz w:val="20"/>
          <w:lang w:val="ro-RO" w:eastAsia="ru-RU"/>
        </w:rPr>
        <w:t xml:space="preserve">din profitul </w:t>
      </w:r>
    </w:p>
    <w:p w:rsidR="0049229D" w:rsidRDefault="00A832E7" w:rsidP="00A832E7">
      <w:pPr>
        <w:spacing w:after="0" w:line="240" w:lineRule="auto"/>
        <w:ind w:right="450"/>
        <w:jc w:val="both"/>
        <w:rPr>
          <w:rFonts w:ascii="Times New Roman" w:hAnsi="Times New Roman"/>
          <w:i/>
          <w:sz w:val="20"/>
          <w:lang w:val="ro-RO" w:eastAsia="ru-RU"/>
        </w:rPr>
      </w:pPr>
      <w:r w:rsidRPr="00A832E7">
        <w:rPr>
          <w:rFonts w:ascii="Times New Roman" w:hAnsi="Times New Roman"/>
          <w:i/>
          <w:sz w:val="20"/>
          <w:lang w:val="ro-RO" w:eastAsia="ru-RU"/>
        </w:rPr>
        <w:t>net ce urmează a fi achitate la buget de</w:t>
      </w:r>
      <w:r w:rsidR="0049229D">
        <w:rPr>
          <w:rFonts w:ascii="Times New Roman" w:hAnsi="Times New Roman"/>
          <w:i/>
          <w:sz w:val="20"/>
          <w:lang w:val="ro-RO" w:eastAsia="ru-RU"/>
        </w:rPr>
        <w:t xml:space="preserve"> </w:t>
      </w:r>
      <w:r w:rsidRPr="00A832E7">
        <w:rPr>
          <w:rFonts w:ascii="Times New Roman" w:hAnsi="Times New Roman"/>
          <w:i/>
          <w:sz w:val="20"/>
          <w:lang w:val="ro-RO" w:eastAsia="ru-RU"/>
        </w:rPr>
        <w:t xml:space="preserve">către </w:t>
      </w:r>
      <w:proofErr w:type="spellStart"/>
      <w:r w:rsidRPr="00A832E7">
        <w:rPr>
          <w:rFonts w:ascii="Times New Roman" w:hAnsi="Times New Roman"/>
          <w:i/>
          <w:sz w:val="20"/>
          <w:lang w:val="ro-RO" w:eastAsia="ru-RU"/>
        </w:rPr>
        <w:t>societăţile</w:t>
      </w:r>
      <w:proofErr w:type="spellEnd"/>
    </w:p>
    <w:p w:rsidR="00A832E7" w:rsidRPr="00A832E7" w:rsidRDefault="00A832E7" w:rsidP="00A832E7">
      <w:pPr>
        <w:spacing w:after="0" w:line="240" w:lineRule="auto"/>
        <w:ind w:right="450"/>
        <w:jc w:val="both"/>
        <w:rPr>
          <w:rFonts w:ascii="Times New Roman" w:hAnsi="Times New Roman"/>
          <w:i/>
          <w:sz w:val="20"/>
          <w:lang w:val="ro-RO" w:eastAsia="ru-RU"/>
        </w:rPr>
      </w:pPr>
      <w:r w:rsidRPr="00A832E7">
        <w:rPr>
          <w:rFonts w:ascii="Times New Roman" w:hAnsi="Times New Roman"/>
          <w:i/>
          <w:sz w:val="20"/>
          <w:lang w:val="ro-RO" w:eastAsia="ru-RU"/>
        </w:rPr>
        <w:t xml:space="preserve">pe </w:t>
      </w:r>
      <w:proofErr w:type="spellStart"/>
      <w:r w:rsidRPr="00A832E7">
        <w:rPr>
          <w:rFonts w:ascii="Times New Roman" w:hAnsi="Times New Roman"/>
          <w:i/>
          <w:sz w:val="20"/>
          <w:lang w:val="ro-RO" w:eastAsia="ru-RU"/>
        </w:rPr>
        <w:t>acţiuni</w:t>
      </w:r>
      <w:proofErr w:type="spellEnd"/>
      <w:r w:rsidRPr="00A832E7">
        <w:rPr>
          <w:rFonts w:ascii="Times New Roman" w:hAnsi="Times New Roman"/>
          <w:i/>
          <w:sz w:val="20"/>
          <w:lang w:val="ro-RO" w:eastAsia="ru-RU"/>
        </w:rPr>
        <w:t xml:space="preserve">, întreprinderile de stat </w:t>
      </w:r>
      <w:proofErr w:type="spellStart"/>
      <w:r w:rsidRPr="00A832E7">
        <w:rPr>
          <w:rFonts w:ascii="Times New Roman" w:hAnsi="Times New Roman"/>
          <w:i/>
          <w:sz w:val="20"/>
          <w:lang w:val="ro-RO" w:eastAsia="ru-RU"/>
        </w:rPr>
        <w:t>şi</w:t>
      </w:r>
      <w:proofErr w:type="spellEnd"/>
      <w:r w:rsidRPr="00A832E7">
        <w:rPr>
          <w:rFonts w:ascii="Times New Roman" w:hAnsi="Times New Roman"/>
          <w:i/>
          <w:sz w:val="20"/>
          <w:lang w:val="ro-RO" w:eastAsia="ru-RU"/>
        </w:rPr>
        <w:t xml:space="preserve"> municipale</w:t>
      </w:r>
    </w:p>
    <w:p w:rsidR="00AE0895" w:rsidRPr="00A832E7" w:rsidRDefault="00AE0895" w:rsidP="005B1897">
      <w:pPr>
        <w:spacing w:after="0" w:line="240" w:lineRule="auto"/>
        <w:ind w:right="450"/>
        <w:jc w:val="both"/>
        <w:rPr>
          <w:rFonts w:ascii="Times New Roman" w:hAnsi="Times New Roman"/>
          <w:i/>
          <w:sz w:val="20"/>
          <w:lang w:val="ro-RO" w:eastAsia="ru-RU"/>
        </w:rPr>
      </w:pPr>
    </w:p>
    <w:p w:rsidR="00AE0895" w:rsidRDefault="00AE0895" w:rsidP="005B1897">
      <w:pPr>
        <w:spacing w:after="0" w:line="240" w:lineRule="auto"/>
        <w:ind w:right="48"/>
        <w:jc w:val="both"/>
        <w:rPr>
          <w:rFonts w:ascii="Times New Roman" w:hAnsi="Times New Roman" w:cs="Times New Roman"/>
          <w:i/>
          <w:lang w:val="ro-RO"/>
        </w:rPr>
      </w:pPr>
    </w:p>
    <w:p w:rsidR="005B1897" w:rsidRPr="005D31E5" w:rsidRDefault="005B1897" w:rsidP="005B1897">
      <w:pPr>
        <w:spacing w:after="0" w:line="240" w:lineRule="auto"/>
        <w:ind w:right="48"/>
        <w:jc w:val="both"/>
        <w:rPr>
          <w:rFonts w:ascii="Times New Roman" w:hAnsi="Times New Roman" w:cs="Times New Roman"/>
          <w:i/>
          <w:lang w:val="ro-RO"/>
        </w:rPr>
      </w:pPr>
    </w:p>
    <w:p w:rsidR="006D7A3B" w:rsidRPr="00A832E7" w:rsidRDefault="00477314" w:rsidP="007B08EA">
      <w:pPr>
        <w:spacing w:after="246" w:line="276" w:lineRule="auto"/>
        <w:ind w:right="128" w:firstLine="562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781464">
        <w:rPr>
          <w:rFonts w:ascii="Times New Roman" w:hAnsi="Times New Roman" w:cs="Times New Roman"/>
          <w:sz w:val="24"/>
          <w:szCs w:val="24"/>
          <w:lang w:val="ro-RO" w:eastAsia="ru-RU"/>
        </w:rPr>
        <w:t>În temeiul</w:t>
      </w:r>
      <w:r w:rsidR="00A832E7" w:rsidRPr="00A832E7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Pr="00477314">
        <w:rPr>
          <w:rFonts w:ascii="Times New Roman" w:hAnsi="Times New Roman" w:cs="Times New Roman"/>
          <w:sz w:val="24"/>
          <w:szCs w:val="24"/>
          <w:lang w:val="ro-RO" w:eastAsia="ru-RU"/>
        </w:rPr>
        <w:t>art.132</w:t>
      </w:r>
      <w:r w:rsidRPr="00477314">
        <w:rPr>
          <w:rFonts w:ascii="Times New Roman" w:hAnsi="Times New Roman" w:cs="Times New Roman"/>
          <w:sz w:val="24"/>
          <w:szCs w:val="24"/>
          <w:vertAlign w:val="superscript"/>
          <w:lang w:val="ro-RO" w:eastAsia="ru-RU"/>
        </w:rPr>
        <w:t>3</w:t>
      </w:r>
      <w:r w:rsidRPr="00477314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alin.(10) din Codul fiscal </w:t>
      </w:r>
      <w:r w:rsidR="00A832E7" w:rsidRPr="00A832E7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(republicat în Monitorul Oficial al Republicii Moldova, 2007, </w:t>
      </w:r>
      <w:proofErr w:type="spellStart"/>
      <w:r w:rsidR="00A832E7" w:rsidRPr="00A832E7">
        <w:rPr>
          <w:rFonts w:ascii="Times New Roman" w:hAnsi="Times New Roman" w:cs="Times New Roman"/>
          <w:sz w:val="24"/>
          <w:szCs w:val="24"/>
          <w:lang w:val="ro-RO" w:eastAsia="ru-RU"/>
        </w:rPr>
        <w:t>ediţie</w:t>
      </w:r>
      <w:proofErr w:type="spellEnd"/>
      <w:r w:rsidR="00A832E7" w:rsidRPr="00A832E7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specială), cu modificările </w:t>
      </w:r>
      <w:proofErr w:type="spellStart"/>
      <w:r w:rsidR="00A832E7" w:rsidRPr="00A832E7">
        <w:rPr>
          <w:rFonts w:ascii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A832E7" w:rsidRPr="00A832E7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completările ulterioare</w:t>
      </w:r>
      <w:r w:rsidR="00A832E7">
        <w:rPr>
          <w:rFonts w:ascii="Times New Roman" w:hAnsi="Times New Roman" w:cs="Times New Roman"/>
          <w:sz w:val="24"/>
          <w:szCs w:val="24"/>
          <w:lang w:val="ro-RO" w:eastAsia="ru-RU"/>
        </w:rPr>
        <w:t>,</w:t>
      </w:r>
    </w:p>
    <w:p w:rsidR="008029F7" w:rsidRPr="00A832E7" w:rsidRDefault="008029F7" w:rsidP="0049229D">
      <w:pPr>
        <w:spacing w:after="0" w:line="276" w:lineRule="auto"/>
        <w:ind w:right="128" w:firstLine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832E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ORDON:</w:t>
      </w:r>
    </w:p>
    <w:p w:rsidR="00C21D56" w:rsidRPr="00A832E7" w:rsidRDefault="00C21D56" w:rsidP="00A832E7">
      <w:pPr>
        <w:spacing w:after="0" w:line="276" w:lineRule="auto"/>
        <w:ind w:right="128" w:firstLine="56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9229D" w:rsidRDefault="00A832E7" w:rsidP="003D466A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right="48" w:firstLine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Se aprobă formularul Declarației cu privire la dividendele și defalcările din profitul net ce urmează a fi achitate la buget de către </w:t>
      </w:r>
      <w:proofErr w:type="spellStart"/>
      <w:r w:rsidRPr="0049229D">
        <w:rPr>
          <w:rFonts w:ascii="Times New Roman" w:hAnsi="Times New Roman" w:cs="Times New Roman"/>
          <w:sz w:val="24"/>
          <w:szCs w:val="24"/>
          <w:lang w:val="ro-MD"/>
        </w:rPr>
        <w:t>societăţile</w:t>
      </w:r>
      <w:proofErr w:type="spellEnd"/>
      <w:r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 pe </w:t>
      </w:r>
      <w:proofErr w:type="spellStart"/>
      <w:r w:rsidRPr="0049229D">
        <w:rPr>
          <w:rFonts w:ascii="Times New Roman" w:hAnsi="Times New Roman" w:cs="Times New Roman"/>
          <w:sz w:val="24"/>
          <w:szCs w:val="24"/>
          <w:lang w:val="ro-MD"/>
        </w:rPr>
        <w:t>acţiuni</w:t>
      </w:r>
      <w:proofErr w:type="spellEnd"/>
      <w:r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, întreprinderile de stat </w:t>
      </w:r>
      <w:proofErr w:type="spellStart"/>
      <w:r w:rsidRPr="0049229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 municipale (forma DDP23)</w:t>
      </w:r>
      <w:r w:rsidR="0049229D">
        <w:rPr>
          <w:rFonts w:ascii="Times New Roman" w:hAnsi="Times New Roman" w:cs="Times New Roman"/>
          <w:sz w:val="24"/>
          <w:szCs w:val="24"/>
          <w:lang w:val="ro-MD"/>
        </w:rPr>
        <w:t xml:space="preserve">, conform anexei </w:t>
      </w:r>
      <w:r w:rsidR="00F659F3">
        <w:rPr>
          <w:rFonts w:ascii="Times New Roman" w:hAnsi="Times New Roman" w:cs="Times New Roman"/>
          <w:sz w:val="24"/>
          <w:szCs w:val="24"/>
          <w:lang w:val="ro-MD"/>
        </w:rPr>
        <w:t xml:space="preserve">nr.1, precum și modul de completare al acesteia conform anexei nr.2 </w:t>
      </w:r>
      <w:r w:rsidR="0049229D">
        <w:rPr>
          <w:rFonts w:ascii="Times New Roman" w:hAnsi="Times New Roman" w:cs="Times New Roman"/>
          <w:sz w:val="24"/>
          <w:szCs w:val="24"/>
          <w:lang w:val="ro-MD"/>
        </w:rPr>
        <w:t>la prezentul ordin</w:t>
      </w:r>
      <w:r w:rsidRPr="0049229D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7B08EA" w:rsidRDefault="007B08EA" w:rsidP="007B08EA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right="48" w:firstLine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B08EA">
        <w:rPr>
          <w:rFonts w:ascii="Times New Roman" w:hAnsi="Times New Roman" w:cs="Times New Roman"/>
          <w:sz w:val="24"/>
          <w:szCs w:val="24"/>
          <w:lang w:val="ro-MD"/>
        </w:rPr>
        <w:t>Prima perioadă fiscală de raportare, conform formularului aprobat, este perioada fiscală a anului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2023</w:t>
      </w:r>
      <w:r w:rsidRPr="007B08EA">
        <w:rPr>
          <w:rFonts w:ascii="Times New Roman" w:hAnsi="Times New Roman" w:cs="Times New Roman"/>
          <w:sz w:val="24"/>
          <w:szCs w:val="24"/>
          <w:lang w:val="ro-MD"/>
        </w:rPr>
        <w:t xml:space="preserve">, inclusiv </w:t>
      </w:r>
      <w:proofErr w:type="spellStart"/>
      <w:r w:rsidRPr="007B08EA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B08EA">
        <w:rPr>
          <w:rFonts w:ascii="Times New Roman" w:hAnsi="Times New Roman" w:cs="Times New Roman"/>
          <w:sz w:val="24"/>
          <w:szCs w:val="24"/>
          <w:lang w:val="ro-MD"/>
        </w:rPr>
        <w:t xml:space="preserve"> pentru contribuabilii care </w:t>
      </w:r>
      <w:proofErr w:type="spellStart"/>
      <w:r w:rsidRPr="007B08EA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B08EA">
        <w:rPr>
          <w:rFonts w:ascii="Times New Roman" w:hAnsi="Times New Roman" w:cs="Times New Roman"/>
          <w:sz w:val="24"/>
          <w:szCs w:val="24"/>
          <w:lang w:val="ro-MD"/>
        </w:rPr>
        <w:t>-au modificat perioada fiscală în conformitate cu art.12</w:t>
      </w:r>
      <w:r w:rsidRPr="007B08EA">
        <w:rPr>
          <w:rFonts w:ascii="Times New Roman" w:hAnsi="Times New Roman" w:cs="Times New Roman"/>
          <w:sz w:val="24"/>
          <w:szCs w:val="24"/>
          <w:vertAlign w:val="superscript"/>
          <w:lang w:val="ro-MD"/>
        </w:rPr>
        <w:t>1</w:t>
      </w:r>
      <w:r w:rsidRPr="007B08EA">
        <w:rPr>
          <w:rFonts w:ascii="Times New Roman" w:hAnsi="Times New Roman" w:cs="Times New Roman"/>
          <w:sz w:val="24"/>
          <w:szCs w:val="24"/>
          <w:lang w:val="ro-MD"/>
        </w:rPr>
        <w:t xml:space="preserve"> alin.(4) din Codul fiscal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49229D" w:rsidRPr="0049229D" w:rsidRDefault="00077192" w:rsidP="007B08EA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right="48" w:firstLine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Se abrogă Ordinul Serviciului F</w:t>
      </w:r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iscal de Stat nr.455/2016 cu privire la aprobarea formularelor de dări de seamă cu privire la dividendele ce urmează a fi achitate la buget de către </w:t>
      </w:r>
      <w:proofErr w:type="spellStart"/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>societăţile</w:t>
      </w:r>
      <w:proofErr w:type="spellEnd"/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 pe </w:t>
      </w:r>
      <w:proofErr w:type="spellStart"/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>acţiuni</w:t>
      </w:r>
      <w:proofErr w:type="spellEnd"/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 defalcările din profitul net al întreprinderilor de stat </w:t>
      </w:r>
      <w:proofErr w:type="spellStart"/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="0049229D"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 municipale.</w:t>
      </w:r>
    </w:p>
    <w:p w:rsidR="00D538A4" w:rsidRPr="0049229D" w:rsidRDefault="005B6C01" w:rsidP="003D466A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ind w:left="0" w:right="48" w:firstLine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Prezentul ordin </w:t>
      </w:r>
      <w:r w:rsidR="008057C5" w:rsidRPr="0049229D">
        <w:rPr>
          <w:rFonts w:ascii="Times New Roman" w:hAnsi="Times New Roman" w:cs="Times New Roman"/>
          <w:sz w:val="24"/>
          <w:szCs w:val="24"/>
          <w:lang w:val="ro-MD"/>
        </w:rPr>
        <w:t>intră în vigoare la data publicării</w:t>
      </w:r>
      <w:r w:rsidR="008057C5" w:rsidRPr="0049229D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49229D">
        <w:rPr>
          <w:rFonts w:ascii="Times New Roman" w:hAnsi="Times New Roman" w:cs="Times New Roman"/>
          <w:sz w:val="24"/>
          <w:szCs w:val="24"/>
          <w:lang w:val="ro-MD"/>
        </w:rPr>
        <w:t xml:space="preserve">în Monitorul </w:t>
      </w:r>
      <w:r w:rsidR="008057C5" w:rsidRPr="0049229D">
        <w:rPr>
          <w:rFonts w:ascii="Times New Roman" w:hAnsi="Times New Roman" w:cs="Times New Roman"/>
          <w:sz w:val="24"/>
          <w:szCs w:val="24"/>
          <w:lang w:val="ro-MD"/>
        </w:rPr>
        <w:t>Oficial al Republicii Moldova.</w:t>
      </w:r>
    </w:p>
    <w:p w:rsidR="008057C5" w:rsidRPr="00A832E7" w:rsidRDefault="00763CD6" w:rsidP="003D466A">
      <w:pPr>
        <w:pStyle w:val="Heading3"/>
        <w:tabs>
          <w:tab w:val="left" w:pos="993"/>
        </w:tabs>
        <w:spacing w:line="276" w:lineRule="auto"/>
        <w:rPr>
          <w:rFonts w:ascii="Times New Roman" w:hAnsi="Times New Roman" w:cs="Times New Roman"/>
          <w:b/>
          <w:color w:val="auto"/>
          <w:sz w:val="44"/>
          <w:szCs w:val="28"/>
          <w:lang w:val="ro-RO"/>
        </w:rPr>
      </w:pPr>
      <w:r w:rsidRPr="00A832E7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ab/>
      </w:r>
      <w:r w:rsidRPr="00A832E7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ab/>
      </w:r>
    </w:p>
    <w:p w:rsidR="00710A46" w:rsidRPr="0049229D" w:rsidRDefault="008057C5" w:rsidP="00763CD6">
      <w:pPr>
        <w:pStyle w:val="Heading3"/>
        <w:tabs>
          <w:tab w:val="left" w:pos="993"/>
        </w:tabs>
        <w:rPr>
          <w:rFonts w:ascii="Times New Roman" w:hAnsi="Times New Roman" w:cs="Times New Roman"/>
          <w:b/>
          <w:color w:val="auto"/>
          <w:lang w:val="ro-RO"/>
        </w:rPr>
      </w:pPr>
      <w:r w:rsidRPr="0049229D">
        <w:rPr>
          <w:rFonts w:ascii="Times New Roman" w:hAnsi="Times New Roman" w:cs="Times New Roman"/>
          <w:b/>
          <w:color w:val="auto"/>
          <w:lang w:val="ro-RO"/>
        </w:rPr>
        <w:t xml:space="preserve">                   </w:t>
      </w:r>
      <w:r w:rsidR="00D1089D" w:rsidRPr="0049229D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710A46" w:rsidRPr="0049229D">
        <w:rPr>
          <w:rFonts w:ascii="Times New Roman" w:hAnsi="Times New Roman" w:cs="Times New Roman"/>
          <w:b/>
          <w:color w:val="auto"/>
          <w:lang w:val="ro-RO"/>
        </w:rPr>
        <w:t>Director</w:t>
      </w:r>
      <w:r w:rsidR="00A832E7" w:rsidRPr="0049229D">
        <w:rPr>
          <w:rFonts w:ascii="Times New Roman" w:hAnsi="Times New Roman" w:cs="Times New Roman"/>
          <w:b/>
          <w:color w:val="auto"/>
          <w:lang w:val="ro-RO"/>
        </w:rPr>
        <w:t xml:space="preserve"> adjunct</w:t>
      </w:r>
      <w:r w:rsidR="00710A46" w:rsidRPr="0049229D">
        <w:rPr>
          <w:rFonts w:ascii="Times New Roman" w:hAnsi="Times New Roman" w:cs="Times New Roman"/>
          <w:b/>
          <w:color w:val="auto"/>
          <w:lang w:val="ro-RO"/>
        </w:rPr>
        <w:t xml:space="preserve">    </w:t>
      </w:r>
      <w:r w:rsidR="00DE244E" w:rsidRPr="0049229D">
        <w:rPr>
          <w:rFonts w:ascii="Times New Roman" w:hAnsi="Times New Roman" w:cs="Times New Roman"/>
          <w:b/>
          <w:color w:val="auto"/>
          <w:lang w:val="ro-RO"/>
        </w:rPr>
        <w:t xml:space="preserve">                          </w:t>
      </w:r>
      <w:r w:rsidR="00710A46" w:rsidRPr="0049229D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E244E" w:rsidRPr="0049229D">
        <w:rPr>
          <w:rFonts w:ascii="Times New Roman" w:hAnsi="Times New Roman" w:cs="Times New Roman"/>
          <w:b/>
          <w:color w:val="auto"/>
          <w:lang w:val="ro-RO"/>
        </w:rPr>
        <w:t xml:space="preserve">      </w:t>
      </w:r>
      <w:r w:rsidR="007C7D51" w:rsidRPr="0049229D">
        <w:rPr>
          <w:rFonts w:ascii="Times New Roman" w:hAnsi="Times New Roman" w:cs="Times New Roman"/>
          <w:b/>
          <w:color w:val="auto"/>
          <w:lang w:val="ro-RO"/>
        </w:rPr>
        <w:t xml:space="preserve">   </w:t>
      </w:r>
      <w:r w:rsidR="00DE244E" w:rsidRPr="0049229D">
        <w:rPr>
          <w:rFonts w:ascii="Times New Roman" w:hAnsi="Times New Roman" w:cs="Times New Roman"/>
          <w:b/>
          <w:color w:val="auto"/>
          <w:lang w:val="ro-RO"/>
        </w:rPr>
        <w:t xml:space="preserve">   </w:t>
      </w:r>
      <w:r w:rsidR="00D1089D" w:rsidRPr="0049229D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E244E" w:rsidRPr="0049229D">
        <w:rPr>
          <w:rFonts w:ascii="Times New Roman" w:hAnsi="Times New Roman" w:cs="Times New Roman"/>
          <w:b/>
          <w:color w:val="auto"/>
          <w:lang w:val="ro-RO"/>
        </w:rPr>
        <w:t xml:space="preserve">   </w:t>
      </w:r>
      <w:r w:rsidR="005D31E5" w:rsidRPr="0049229D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E244E" w:rsidRPr="0049229D">
        <w:rPr>
          <w:rFonts w:ascii="Times New Roman" w:hAnsi="Times New Roman" w:cs="Times New Roman"/>
          <w:b/>
          <w:color w:val="auto"/>
          <w:lang w:val="ro-RO"/>
        </w:rPr>
        <w:t xml:space="preserve">      </w:t>
      </w:r>
      <w:r w:rsidR="00710A46" w:rsidRPr="0049229D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DE244E" w:rsidRPr="0049229D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49229D">
        <w:rPr>
          <w:rFonts w:ascii="Times New Roman" w:hAnsi="Times New Roman" w:cs="Times New Roman"/>
          <w:b/>
          <w:color w:val="auto"/>
          <w:lang w:val="ro-RO"/>
        </w:rPr>
        <w:t xml:space="preserve">         </w:t>
      </w:r>
      <w:r w:rsidR="005D31E5" w:rsidRPr="0049229D">
        <w:rPr>
          <w:rFonts w:ascii="Times New Roman" w:hAnsi="Times New Roman" w:cs="Times New Roman"/>
          <w:b/>
          <w:color w:val="auto"/>
          <w:lang w:val="ro-RO"/>
        </w:rPr>
        <w:t xml:space="preserve">  </w:t>
      </w:r>
      <w:r w:rsidR="0049229D">
        <w:rPr>
          <w:rFonts w:ascii="Times New Roman" w:hAnsi="Times New Roman" w:cs="Times New Roman"/>
          <w:b/>
          <w:color w:val="auto"/>
          <w:lang w:val="ro-RO"/>
        </w:rPr>
        <w:t xml:space="preserve">    </w:t>
      </w:r>
      <w:r w:rsidR="00DE244E" w:rsidRPr="0049229D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2A6ECC" w:rsidRPr="0049229D">
        <w:rPr>
          <w:rFonts w:ascii="Times New Roman" w:hAnsi="Times New Roman" w:cs="Times New Roman"/>
          <w:b/>
          <w:color w:val="auto"/>
          <w:lang w:val="ro-RO"/>
        </w:rPr>
        <w:t xml:space="preserve">Petru </w:t>
      </w:r>
      <w:r w:rsidR="00A832E7" w:rsidRPr="0049229D">
        <w:rPr>
          <w:rFonts w:ascii="Times New Roman" w:hAnsi="Times New Roman" w:cs="Times New Roman"/>
          <w:b/>
          <w:color w:val="auto"/>
          <w:lang w:val="ro-RO"/>
        </w:rPr>
        <w:t>GRICIUC</w:t>
      </w:r>
    </w:p>
    <w:p w:rsidR="00A832E7" w:rsidRDefault="00A832E7" w:rsidP="00BF5E27">
      <w:pPr>
        <w:rPr>
          <w:rFonts w:ascii="Times New Roman" w:hAnsi="Times New Roman" w:cs="Times New Roman"/>
          <w:sz w:val="10"/>
          <w:szCs w:val="10"/>
          <w:lang w:val="ro-RO"/>
        </w:rPr>
      </w:pPr>
    </w:p>
    <w:p w:rsidR="00A832E7" w:rsidRPr="00763CD6" w:rsidRDefault="00A832E7" w:rsidP="00BF5E27">
      <w:pPr>
        <w:rPr>
          <w:rFonts w:ascii="Times New Roman" w:hAnsi="Times New Roman" w:cs="Times New Roman"/>
          <w:sz w:val="10"/>
          <w:szCs w:val="10"/>
          <w:lang w:val="ro-RO"/>
        </w:rPr>
      </w:pPr>
    </w:p>
    <w:p w:rsidR="005C3742" w:rsidRDefault="005C3742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6B428A" w:rsidRDefault="006B428A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6B428A" w:rsidRDefault="006B428A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6B428A" w:rsidRDefault="006B428A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6B428A" w:rsidRDefault="006B428A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6C4EA2" w:rsidRDefault="006C4EA2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6B428A" w:rsidRDefault="006B428A" w:rsidP="008057C5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6B428A" w:rsidRDefault="006B428A" w:rsidP="006C4EA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B428A" w:rsidRDefault="006B428A" w:rsidP="006C4EA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Executor: Iulia Țurcan</w:t>
      </w:r>
    </w:p>
    <w:p w:rsidR="006B428A" w:rsidRDefault="006B428A" w:rsidP="006C4EA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Telefon: 022 823395</w:t>
      </w:r>
    </w:p>
    <w:p w:rsidR="006C4EA2" w:rsidRDefault="006C4EA2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49229D" w:rsidRPr="003D466A" w:rsidRDefault="00F659F3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  <w:r w:rsidRPr="003D466A">
        <w:rPr>
          <w:rFonts w:ascii="Times New Roman" w:hAnsi="Times New Roman" w:cs="Times New Roman"/>
          <w:sz w:val="24"/>
          <w:szCs w:val="16"/>
          <w:lang w:val="ro-RO"/>
        </w:rPr>
        <w:lastRenderedPageBreak/>
        <w:t>Anexa nr.1</w:t>
      </w:r>
      <w:r w:rsidR="0049229D" w:rsidRPr="003D466A">
        <w:rPr>
          <w:rFonts w:ascii="Times New Roman" w:hAnsi="Times New Roman" w:cs="Times New Roman"/>
          <w:sz w:val="24"/>
          <w:szCs w:val="16"/>
          <w:lang w:val="ro-RO"/>
        </w:rPr>
        <w:t xml:space="preserve"> la Ordinul Serviciului Fiscal de Stat</w:t>
      </w:r>
    </w:p>
    <w:p w:rsidR="0049229D" w:rsidRPr="003D466A" w:rsidRDefault="006C4EA2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  <w:r>
        <w:rPr>
          <w:rFonts w:ascii="Times New Roman" w:hAnsi="Times New Roman" w:cs="Times New Roman"/>
          <w:sz w:val="24"/>
          <w:szCs w:val="16"/>
          <w:lang w:val="ro-RO"/>
        </w:rPr>
        <w:t>nr. _____ din ___________2024</w:t>
      </w:r>
    </w:p>
    <w:p w:rsidR="0049229D" w:rsidRDefault="0049229D" w:rsidP="0049229D">
      <w:pPr>
        <w:jc w:val="right"/>
        <w:rPr>
          <w:rFonts w:ascii="Times New Roman" w:hAnsi="Times New Roman" w:cs="Times New Roman"/>
          <w:b/>
          <w:sz w:val="24"/>
          <w:szCs w:val="16"/>
          <w:lang w:val="ro-RO"/>
        </w:rPr>
      </w:pPr>
    </w:p>
    <w:p w:rsidR="00A9152D" w:rsidRDefault="00A9152D" w:rsidP="00EE7CF4">
      <w:pPr>
        <w:jc w:val="right"/>
        <w:rPr>
          <w:rFonts w:ascii="Times New Roman" w:hAnsi="Times New Roman" w:cs="Times New Roman"/>
          <w:b/>
          <w:sz w:val="24"/>
          <w:szCs w:val="16"/>
          <w:lang w:val="ro-RO"/>
        </w:rPr>
      </w:pPr>
    </w:p>
    <w:p w:rsidR="00E01077" w:rsidRDefault="009466F5" w:rsidP="00EE7CF4">
      <w:pPr>
        <w:jc w:val="right"/>
        <w:rPr>
          <w:rFonts w:ascii="Times New Roman" w:hAnsi="Times New Roman" w:cs="Times New Roman"/>
          <w:b/>
          <w:sz w:val="24"/>
          <w:szCs w:val="16"/>
          <w:lang w:val="ro-RO"/>
        </w:rPr>
      </w:pPr>
      <w:r>
        <w:rPr>
          <w:rFonts w:ascii="Times New Roman" w:hAnsi="Times New Roman" w:cs="Times New Roman"/>
          <w:b/>
          <w:sz w:val="24"/>
          <w:szCs w:val="16"/>
          <w:lang w:val="ro-RO"/>
        </w:rPr>
        <w:t>Forma DDP23</w:t>
      </w:r>
      <w:bookmarkStart w:id="0" w:name="_GoBack"/>
      <w:bookmarkEnd w:id="0"/>
    </w:p>
    <w:p w:rsidR="00B83B35" w:rsidRDefault="00B83B35" w:rsidP="00B83B35">
      <w:pPr>
        <w:spacing w:after="0"/>
        <w:jc w:val="center"/>
        <w:rPr>
          <w:rFonts w:ascii="Times New Roman" w:hAnsi="Times New Roman" w:cs="Times New Roman"/>
          <w:b/>
          <w:sz w:val="24"/>
          <w:szCs w:val="16"/>
          <w:lang w:val="ro-RO"/>
        </w:rPr>
      </w:pPr>
    </w:p>
    <w:p w:rsidR="00B83B35" w:rsidRPr="0077274B" w:rsidRDefault="00B83B35" w:rsidP="00B83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t>Declarația</w:t>
      </w:r>
    </w:p>
    <w:p w:rsidR="00B83B35" w:rsidRPr="0077274B" w:rsidRDefault="00B83B35" w:rsidP="00B83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dividendele și defalcările din profitul net ce urmează a fi achitate la buget de către </w:t>
      </w:r>
      <w:proofErr w:type="spellStart"/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t>societăţile</w:t>
      </w:r>
      <w:proofErr w:type="spellEnd"/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</w:t>
      </w:r>
      <w:proofErr w:type="spellStart"/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t>acţiuni</w:t>
      </w:r>
      <w:proofErr w:type="spellEnd"/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întreprinderile de stat </w:t>
      </w:r>
      <w:proofErr w:type="spellStart"/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municipale</w:t>
      </w:r>
    </w:p>
    <w:p w:rsidR="00EE7CF4" w:rsidRPr="0077274B" w:rsidRDefault="00EE7CF4" w:rsidP="00EE7CF4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5226"/>
      </w:tblGrid>
      <w:tr w:rsidR="00E01077" w:rsidRPr="0077274B" w:rsidTr="00EE7CF4">
        <w:tc>
          <w:tcPr>
            <w:tcW w:w="3114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27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226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27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Societate pe acțiuni</w:t>
            </w:r>
          </w:p>
        </w:tc>
      </w:tr>
      <w:tr w:rsidR="00E01077" w:rsidRPr="0077274B" w:rsidTr="00EE7CF4">
        <w:tc>
          <w:tcPr>
            <w:tcW w:w="3114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27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5226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27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 de stat</w:t>
            </w:r>
          </w:p>
        </w:tc>
      </w:tr>
      <w:tr w:rsidR="00E01077" w:rsidRPr="0077274B" w:rsidTr="00EE7CF4">
        <w:tc>
          <w:tcPr>
            <w:tcW w:w="3114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27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5226" w:type="dxa"/>
          </w:tcPr>
          <w:p w:rsidR="00E01077" w:rsidRPr="0077274B" w:rsidRDefault="00E01077" w:rsidP="00D850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27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Întreprindere municipală</w:t>
            </w:r>
          </w:p>
        </w:tc>
      </w:tr>
    </w:tbl>
    <w:p w:rsidR="00EE7CF4" w:rsidRPr="00EE7CF4" w:rsidRDefault="00EE7CF4" w:rsidP="00D85045">
      <w:pPr>
        <w:rPr>
          <w:rFonts w:ascii="Times New Roman" w:hAnsi="Times New Roman" w:cs="Times New Roman"/>
          <w:szCs w:val="16"/>
          <w:lang w:val="ro-RO"/>
        </w:rPr>
      </w:pPr>
      <w:r w:rsidRPr="00EE7CF4">
        <w:rPr>
          <w:rFonts w:ascii="Times New Roman" w:hAnsi="Times New Roman" w:cs="Times New Roman"/>
          <w:szCs w:val="16"/>
          <w:lang w:val="ro-RO"/>
        </w:rPr>
        <w:t xml:space="preserve">În </w:t>
      </w:r>
      <w:proofErr w:type="spellStart"/>
      <w:r w:rsidRPr="00EE7CF4">
        <w:rPr>
          <w:rFonts w:ascii="Times New Roman" w:hAnsi="Times New Roman" w:cs="Times New Roman"/>
          <w:szCs w:val="16"/>
          <w:lang w:val="ro-RO"/>
        </w:rPr>
        <w:t>pătrăţelul</w:t>
      </w:r>
      <w:proofErr w:type="spellEnd"/>
      <w:r w:rsidRPr="00EE7CF4">
        <w:rPr>
          <w:rFonts w:ascii="Times New Roman" w:hAnsi="Times New Roman" w:cs="Times New Roman"/>
          <w:szCs w:val="16"/>
          <w:lang w:val="ro-RO"/>
        </w:rPr>
        <w:t xml:space="preserve"> liter</w:t>
      </w:r>
      <w:r>
        <w:rPr>
          <w:rFonts w:ascii="Times New Roman" w:hAnsi="Times New Roman" w:cs="Times New Roman"/>
          <w:szCs w:val="16"/>
          <w:lang w:val="ro-RO"/>
        </w:rPr>
        <w:t xml:space="preserve">ei selectate se </w:t>
      </w:r>
      <w:r w:rsidR="00B83B35">
        <w:rPr>
          <w:rFonts w:ascii="Times New Roman" w:hAnsi="Times New Roman" w:cs="Times New Roman"/>
          <w:szCs w:val="16"/>
          <w:lang w:val="ro-RO"/>
        </w:rPr>
        <w:t xml:space="preserve">indică </w:t>
      </w:r>
      <w:r>
        <w:rPr>
          <w:rFonts w:ascii="Times New Roman" w:hAnsi="Times New Roman" w:cs="Times New Roman"/>
          <w:szCs w:val="16"/>
          <w:lang w:val="ro-RO"/>
        </w:rPr>
        <w:t>semnul "√"</w:t>
      </w:r>
    </w:p>
    <w:p w:rsidR="00ED1B22" w:rsidRDefault="00ED1B22" w:rsidP="00EE7CF4">
      <w:pPr>
        <w:spacing w:line="240" w:lineRule="auto"/>
        <w:rPr>
          <w:rFonts w:ascii="Times New Roman" w:hAnsi="Times New Roman" w:cs="Times New Roman"/>
          <w:b/>
          <w:szCs w:val="16"/>
          <w:lang w:val="ro-RO"/>
        </w:rPr>
      </w:pPr>
    </w:p>
    <w:p w:rsidR="00D85045" w:rsidRPr="00ED1B22" w:rsidRDefault="00D85045" w:rsidP="00EE7C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Codul fiscal al contribuabilului __________________     </w:t>
      </w:r>
    </w:p>
    <w:p w:rsidR="00D85045" w:rsidRPr="00ED1B22" w:rsidRDefault="00D85045" w:rsidP="00EE7C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contribuabilului _____________________     </w:t>
      </w:r>
    </w:p>
    <w:p w:rsidR="00D85045" w:rsidRPr="00ED1B22" w:rsidRDefault="00D85045" w:rsidP="00EE7C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Codul </w:t>
      </w:r>
      <w:proofErr w:type="spellStart"/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>localităţii</w:t>
      </w:r>
      <w:proofErr w:type="spellEnd"/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(CUATM) ______________________</w:t>
      </w:r>
    </w:p>
    <w:p w:rsidR="00D85045" w:rsidRPr="00ED1B22" w:rsidRDefault="00D85045" w:rsidP="00EE7C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>Subdiviziunea Serviciului Fiscal de Stat____________</w:t>
      </w:r>
    </w:p>
    <w:p w:rsidR="0075168D" w:rsidRPr="00ED1B22" w:rsidRDefault="00D85045" w:rsidP="00EE7C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>Codul genului principal de activitate ______________</w:t>
      </w:r>
      <w:r w:rsidR="0075168D" w:rsidRPr="00ED1B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75168D" w:rsidRPr="00ED1B22" w:rsidRDefault="0075168D" w:rsidP="00EE7C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 prezentării </w:t>
      </w:r>
      <w:r w:rsidR="00AF1111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</w:p>
    <w:p w:rsidR="00D85045" w:rsidRPr="00D85045" w:rsidRDefault="0075168D" w:rsidP="00EE7CF4">
      <w:pPr>
        <w:spacing w:line="240" w:lineRule="auto"/>
        <w:rPr>
          <w:rFonts w:ascii="Times New Roman" w:hAnsi="Times New Roman" w:cs="Times New Roman"/>
          <w:b/>
          <w:szCs w:val="16"/>
          <w:lang w:val="ro-RO"/>
        </w:rPr>
      </w:pPr>
      <w:r w:rsidRPr="00ED1B22">
        <w:rPr>
          <w:rFonts w:ascii="Times New Roman" w:hAnsi="Times New Roman" w:cs="Times New Roman"/>
          <w:b/>
          <w:sz w:val="24"/>
          <w:szCs w:val="24"/>
          <w:lang w:val="ro-RO"/>
        </w:rPr>
        <w:t>Perioada fiscală</w:t>
      </w:r>
      <w:r>
        <w:rPr>
          <w:rFonts w:ascii="Times New Roman" w:hAnsi="Times New Roman" w:cs="Times New Roman"/>
          <w:b/>
          <w:sz w:val="24"/>
          <w:szCs w:val="16"/>
          <w:lang w:val="ro-RO"/>
        </w:rPr>
        <w:t xml:space="preserve"> _____________________________</w:t>
      </w:r>
    </w:p>
    <w:p w:rsidR="0075168D" w:rsidRPr="00D85045" w:rsidRDefault="0075168D" w:rsidP="00EE7CF4">
      <w:pPr>
        <w:spacing w:after="0"/>
        <w:rPr>
          <w:rFonts w:ascii="Times New Roman" w:hAnsi="Times New Roman" w:cs="Times New Roman"/>
          <w:b/>
          <w:sz w:val="24"/>
          <w:szCs w:val="16"/>
          <w:lang w:val="ro-RO"/>
        </w:rPr>
      </w:pPr>
    </w:p>
    <w:p w:rsidR="00EE7CF4" w:rsidRDefault="0075168D" w:rsidP="00EE7CF4">
      <w:pPr>
        <w:rPr>
          <w:rFonts w:ascii="Times New Roman" w:eastAsia="Times New Roman" w:hAnsi="Times New Roman" w:cs="Times New Roman"/>
          <w:sz w:val="24"/>
          <w:szCs w:val="14"/>
          <w:lang w:val="ro-RO" w:eastAsia="ro-RO"/>
        </w:rPr>
      </w:pPr>
      <w:r w:rsidRPr="0075168D">
        <w:rPr>
          <w:rFonts w:ascii="Times New Roman" w:eastAsia="Times New Roman" w:hAnsi="Times New Roman" w:cs="Times New Roman"/>
          <w:bCs/>
          <w:sz w:val="24"/>
          <w:lang w:val="ro-RO" w:eastAsia="ro-RO"/>
        </w:rPr>
        <w:t>Data adoptării deciziei de achitare a dividendelor</w:t>
      </w:r>
      <w:r w:rsidR="001E2B72">
        <w:rPr>
          <w:rFonts w:ascii="Times New Roman" w:eastAsia="Times New Roman" w:hAnsi="Times New Roman" w:cs="Times New Roman"/>
          <w:bCs/>
          <w:sz w:val="24"/>
          <w:lang w:val="ro-RO" w:eastAsia="ro-RO"/>
        </w:rPr>
        <w:t>/defalcărilor</w:t>
      </w:r>
      <w:r w:rsidRPr="0075168D">
        <w:rPr>
          <w:rFonts w:ascii="Times New Roman" w:eastAsia="Times New Roman" w:hAnsi="Times New Roman" w:cs="Times New Roman"/>
          <w:sz w:val="24"/>
          <w:lang w:val="ro-RO" w:eastAsia="ro-RO"/>
        </w:rPr>
        <w:t xml:space="preserve"> </w:t>
      </w:r>
      <w:r w:rsidR="00E01077" w:rsidRPr="00EE7CF4">
        <w:rPr>
          <w:rFonts w:ascii="Times New Roman" w:hAnsi="Times New Roman" w:cs="Times New Roman"/>
          <w:sz w:val="24"/>
          <w:lang w:val="ro-RO"/>
        </w:rPr>
        <w:t>la buget</w:t>
      </w:r>
      <w:r w:rsidR="00E01077" w:rsidRPr="00EE7CF4">
        <w:rPr>
          <w:rFonts w:ascii="Times New Roman" w:eastAsia="Times New Roman" w:hAnsi="Times New Roman" w:cs="Times New Roman"/>
          <w:sz w:val="24"/>
          <w:lang w:val="ro-RO" w:eastAsia="ro-RO"/>
        </w:rPr>
        <w:t xml:space="preserve"> </w:t>
      </w:r>
      <w:r w:rsidR="00EE7CF4" w:rsidRPr="00EE7CF4">
        <w:rPr>
          <w:rFonts w:ascii="Times New Roman" w:eastAsia="Times New Roman" w:hAnsi="Times New Roman" w:cs="Times New Roman"/>
          <w:sz w:val="24"/>
          <w:szCs w:val="14"/>
          <w:lang w:val="ro-RO" w:eastAsia="ro-RO"/>
        </w:rPr>
        <w:t>"___"___________ 20____</w:t>
      </w:r>
    </w:p>
    <w:p w:rsidR="0077274B" w:rsidRPr="001F4E20" w:rsidRDefault="0077274B" w:rsidP="00EE7CF4">
      <w:pPr>
        <w:rPr>
          <w:rFonts w:ascii="Times New Roman" w:eastAsia="Times New Roman" w:hAnsi="Times New Roman" w:cs="Times New Roman"/>
          <w:sz w:val="24"/>
          <w:szCs w:val="14"/>
          <w:lang w:val="ro-RO" w:eastAsia="ro-RO"/>
        </w:rPr>
      </w:pPr>
    </w:p>
    <w:p w:rsidR="00E01077" w:rsidRPr="0077274B" w:rsidRDefault="001F4E20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Secțiunea întâi</w:t>
      </w:r>
    </w:p>
    <w:p w:rsidR="0077274B" w:rsidRPr="0077274B" w:rsidRDefault="0077274B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10583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567"/>
        <w:gridCol w:w="1794"/>
      </w:tblGrid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59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Denumirea indicatorilor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59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Indicatorii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br/>
            </w: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1E2B72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1E2B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1E2B72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ro-MD" w:eastAsia="ru-RU"/>
              </w:rPr>
            </w:pPr>
            <w:r w:rsidRPr="001E2B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ro-MD" w:eastAsia="ru-RU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1E2B72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MD" w:eastAsia="ru-RU"/>
              </w:rPr>
            </w:pPr>
            <w:r w:rsidRPr="001E2B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ro-MD" w:eastAsia="ru-RU"/>
              </w:rPr>
              <w:t>3</w:t>
            </w:r>
          </w:p>
        </w:tc>
      </w:tr>
      <w:tr w:rsidR="001F4E20" w:rsidRPr="0077274B" w:rsidTr="0023374D"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59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Capitalul </w:t>
            </w:r>
            <w:r w:rsidR="00ED1B22"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social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ED1B22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59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Cota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proprietăţii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 publice în capitalul social, inclusiv:</w:t>
            </w:r>
            <w:r w:rsidR="00ED1B22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(%)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59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 a bugetului de stat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(%)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59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 a b</w:t>
            </w: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ugetelor locale de nivelul doi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(%)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ind w:left="-653" w:firstLine="653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2.3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59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 a b</w:t>
            </w: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ugetelor locale de nivelul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întîi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(%)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ind w:left="-653" w:firstLine="653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Profit</w:t>
            </w:r>
            <w:r w:rsidR="00597A4D"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 net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ED1B22" w:rsidP="00ED1B22">
            <w:pPr>
              <w:spacing w:after="0" w:line="240" w:lineRule="auto"/>
              <w:ind w:left="-585" w:firstLine="6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597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Cota din profitul net repartizată la plata dividendelor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(%)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1111" w:rsidRDefault="001F4E20" w:rsidP="00597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Dividende aferente c</w:t>
            </w:r>
            <w:r w:rsid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otei </w:t>
            </w:r>
            <w:proofErr w:type="spellStart"/>
            <w:r w:rsid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proprietăţii</w:t>
            </w:r>
            <w:proofErr w:type="spellEnd"/>
            <w:r w:rsid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 publice </w:t>
            </w:r>
          </w:p>
          <w:p w:rsidR="001F4E20" w:rsidRPr="0077274B" w:rsidRDefault="001E2B72" w:rsidP="00597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(rândul 5.1 + rândul 5.2 + rândul 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5.3), inclusiv: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  <w:r w:rsidR="00ED1B22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br/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B275A2" w:rsidP="0059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 a bugetului de stat (rând</w:t>
            </w:r>
            <w:r w:rsid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ul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3 × rând</w:t>
            </w:r>
            <w:r w:rsid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ul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4 : 100 × rând</w:t>
            </w:r>
            <w:r w:rsid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ul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2.1 : 100):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  <w:t xml:space="preserve">-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a b</w:t>
            </w: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ugetelor locale de nivelul doi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/</w:t>
            </w:r>
            <w:r w:rsidRPr="0077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(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rândul</w:t>
            </w:r>
            <w:r w:rsid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3 × rândul 4 :100 × rândul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2.2 : 100)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5.3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</w:t>
            </w: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a bugetelor locale de nivelul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întîi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(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3 × 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4 :100 × 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2.3 : 100)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  <w:r w:rsidR="00ED1B22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3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Dividende spre achitare cu bunuri (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6.1 + 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6.2 + 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6.3), inclusiv: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 la bugetul de stat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ED1B22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(lei)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-la b</w:t>
            </w: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ugetele locale de nivelul doi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1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6.3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 la b</w:t>
            </w: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ugetele locale de nivelul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întîi</w:t>
            </w:r>
            <w:proofErr w:type="spellEnd"/>
            <w:r w:rsidR="00ED1B22"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  <w:r w:rsidR="00ED1B22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3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Dividende spre achitare prin virament (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7.1 + 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7.2 + 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 xml:space="preserve">rândul </w:t>
            </w: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7.3), inclusiv: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ED1B22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  <w:r w:rsidR="001F4E20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ED1B22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- la bugetul de stat  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(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rândul 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5.1 </w:t>
            </w:r>
            <w:r w:rsidR="001F4E20" w:rsidRPr="0077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  <w:t xml:space="preserve">– 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rândul 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6.1)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ED1B22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ei)</w:t>
            </w:r>
            <w:r w:rsidR="001F4E20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 la b</w:t>
            </w: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ugetele locale de nivelul doi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(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rândul</w:t>
            </w:r>
            <w:r w:rsidR="00B27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5.2 </w:t>
            </w:r>
            <w:r w:rsidRPr="0077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  <w:t>–</w:t>
            </w:r>
            <w:r w:rsidR="001E2B72" w:rsidRPr="001E2B72">
              <w:rPr>
                <w:lang w:val="en-US"/>
              </w:rPr>
              <w:t xml:space="preserve"> </w:t>
            </w:r>
            <w:r w:rsidR="001E2B72" w:rsidRPr="001E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rândul</w:t>
            </w:r>
            <w:r w:rsidR="001E2B72" w:rsidRPr="001E2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6.2)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1F4E20" w:rsidRPr="0077274B" w:rsidTr="0023374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7.3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- la b</w:t>
            </w:r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ugetele locale de nivelul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întîi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(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rândul</w:t>
            </w:r>
            <w:r w:rsidR="00B27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5.3 </w:t>
            </w:r>
            <w:r w:rsidRPr="0077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MD" w:eastAsia="ru-RU"/>
              </w:rPr>
              <w:t xml:space="preserve">– </w:t>
            </w:r>
            <w:r w:rsidR="001E2B72" w:rsidRPr="001E2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>rândul</w:t>
            </w:r>
            <w:r w:rsidR="00B27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  <w:t xml:space="preserve">6.3)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(lei)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:rsidR="001F4E20" w:rsidRPr="0077274B" w:rsidRDefault="001F4E20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7274B" w:rsidRPr="0077274B" w:rsidRDefault="0077274B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551DD" w:rsidRPr="0077274B" w:rsidRDefault="001F4E20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Secțiunea a doua</w:t>
      </w:r>
    </w:p>
    <w:p w:rsidR="001551DD" w:rsidRPr="0077274B" w:rsidRDefault="001551DD" w:rsidP="007516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Notă la rândul 7.2 și 7.3 din Secțiunea întâi din Declarație</w:t>
      </w:r>
    </w:p>
    <w:p w:rsidR="001551DD" w:rsidRPr="001E2B72" w:rsidRDefault="001551DD" w:rsidP="007516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 w:rsidRPr="001E2B7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Repartizarea pe bugetele locale a divide</w:t>
      </w:r>
      <w:r w:rsidR="00532CE2" w:rsidRPr="001E2B7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n</w:t>
      </w:r>
      <w:r w:rsidR="001E2B7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delor achitate către fondator/fondatori</w:t>
      </w:r>
    </w:p>
    <w:p w:rsidR="001551DD" w:rsidRPr="0077274B" w:rsidRDefault="001551DD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10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409"/>
        <w:gridCol w:w="2552"/>
        <w:gridCol w:w="2416"/>
      </w:tblGrid>
      <w:tr w:rsidR="001551DD" w:rsidRPr="006C4EA2" w:rsidTr="0023374D">
        <w:trPr>
          <w:trHeight w:val="289"/>
        </w:trPr>
        <w:tc>
          <w:tcPr>
            <w:tcW w:w="567" w:type="dxa"/>
            <w:vMerge w:val="restart"/>
          </w:tcPr>
          <w:p w:rsidR="001551DD" w:rsidRPr="0077274B" w:rsidRDefault="001551DD" w:rsidP="00ED1B22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crt</w:t>
            </w:r>
            <w:proofErr w:type="spellEnd"/>
          </w:p>
        </w:tc>
        <w:tc>
          <w:tcPr>
            <w:tcW w:w="5103" w:type="dxa"/>
            <w:gridSpan w:val="2"/>
          </w:tcPr>
          <w:p w:rsidR="001551DD" w:rsidRPr="0077274B" w:rsidRDefault="001551DD" w:rsidP="00ED1B2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 xml:space="preserve">Bugetele   </w:t>
            </w:r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locale</w:t>
            </w:r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 xml:space="preserve">  de nivelul al doilea</w:t>
            </w:r>
            <w:r w:rsidR="00ED1B22" w:rsidRPr="007727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4968" w:type="dxa"/>
            <w:gridSpan w:val="2"/>
          </w:tcPr>
          <w:p w:rsidR="001551DD" w:rsidRPr="0077274B" w:rsidRDefault="001551DD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B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ugetele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 xml:space="preserve">locale de nivelul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întîi</w:t>
            </w:r>
            <w:proofErr w:type="spellEnd"/>
          </w:p>
        </w:tc>
      </w:tr>
      <w:tr w:rsidR="001551DD" w:rsidRPr="0077274B" w:rsidTr="0023374D">
        <w:trPr>
          <w:trHeight w:val="595"/>
        </w:trPr>
        <w:tc>
          <w:tcPr>
            <w:tcW w:w="567" w:type="dxa"/>
            <w:vMerge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Codul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localităţii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(CUATM) </w:t>
            </w: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2409" w:type="dxa"/>
          </w:tcPr>
          <w:p w:rsidR="001551DD" w:rsidRPr="0077274B" w:rsidRDefault="001551DD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Dividende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spre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achitare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</w:tcPr>
          <w:p w:rsidR="001551DD" w:rsidRPr="0077274B" w:rsidRDefault="001551DD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Codul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localităţii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(CUATM) </w:t>
            </w:r>
          </w:p>
        </w:tc>
        <w:tc>
          <w:tcPr>
            <w:tcW w:w="2416" w:type="dxa"/>
          </w:tcPr>
          <w:p w:rsidR="001551DD" w:rsidRPr="0077274B" w:rsidRDefault="001551DD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Dividende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spre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achitare</w:t>
            </w:r>
            <w:proofErr w:type="spellEnd"/>
          </w:p>
        </w:tc>
      </w:tr>
      <w:tr w:rsidR="001551DD" w:rsidRPr="0077274B" w:rsidTr="0023374D">
        <w:trPr>
          <w:trHeight w:val="125"/>
        </w:trPr>
        <w:tc>
          <w:tcPr>
            <w:tcW w:w="567" w:type="dxa"/>
          </w:tcPr>
          <w:p w:rsidR="001551DD" w:rsidRPr="001E2B72" w:rsidRDefault="001551DD" w:rsidP="001551D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1E2B72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551DD" w:rsidRPr="001E2B72" w:rsidRDefault="001551DD" w:rsidP="001551D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1E2B72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2</w:t>
            </w:r>
          </w:p>
        </w:tc>
        <w:tc>
          <w:tcPr>
            <w:tcW w:w="2409" w:type="dxa"/>
          </w:tcPr>
          <w:p w:rsidR="001551DD" w:rsidRPr="001E2B72" w:rsidRDefault="001551DD" w:rsidP="001551D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1E2B72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3</w:t>
            </w:r>
          </w:p>
        </w:tc>
        <w:tc>
          <w:tcPr>
            <w:tcW w:w="2552" w:type="dxa"/>
          </w:tcPr>
          <w:p w:rsidR="001551DD" w:rsidRPr="001E2B72" w:rsidRDefault="001551DD" w:rsidP="001551D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1E2B72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4</w:t>
            </w:r>
          </w:p>
        </w:tc>
        <w:tc>
          <w:tcPr>
            <w:tcW w:w="2416" w:type="dxa"/>
          </w:tcPr>
          <w:p w:rsidR="001551DD" w:rsidRPr="001E2B72" w:rsidRDefault="001551DD" w:rsidP="001551D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1E2B72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5</w:t>
            </w: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567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694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551DD" w:rsidRPr="0077274B" w:rsidTr="0023374D">
        <w:tc>
          <w:tcPr>
            <w:tcW w:w="3261" w:type="dxa"/>
            <w:gridSpan w:val="2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Total d</w:t>
            </w: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ividende spre achitare</w:t>
            </w:r>
          </w:p>
        </w:tc>
        <w:tc>
          <w:tcPr>
            <w:tcW w:w="2409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52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x</w:t>
            </w:r>
          </w:p>
        </w:tc>
        <w:tc>
          <w:tcPr>
            <w:tcW w:w="2416" w:type="dxa"/>
          </w:tcPr>
          <w:p w:rsidR="001551DD" w:rsidRPr="0077274B" w:rsidRDefault="001551DD" w:rsidP="001551D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1551DD" w:rsidRPr="0077274B" w:rsidRDefault="001551DD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F4E20" w:rsidRPr="0077274B" w:rsidRDefault="0075168D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br/>
      </w:r>
      <w:r w:rsidR="001551DD" w:rsidRPr="0077274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Secțiunea a treia</w:t>
      </w:r>
    </w:p>
    <w:p w:rsidR="001551DD" w:rsidRPr="0077274B" w:rsidRDefault="001551DD" w:rsidP="00751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1031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3"/>
        <w:gridCol w:w="7592"/>
        <w:gridCol w:w="542"/>
        <w:gridCol w:w="1735"/>
      </w:tblGrid>
      <w:tr w:rsidR="001F4E20" w:rsidRPr="0077274B" w:rsidTr="00AF1111">
        <w:tc>
          <w:tcPr>
            <w:tcW w:w="44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8134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Denumirea indicatorilor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br/>
            </w:r>
          </w:p>
        </w:tc>
        <w:tc>
          <w:tcPr>
            <w:tcW w:w="17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E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Indicatorii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br/>
            </w:r>
          </w:p>
        </w:tc>
      </w:tr>
      <w:tr w:rsidR="001F4E20" w:rsidRPr="0077274B" w:rsidTr="00AF1111">
        <w:trPr>
          <w:trHeight w:val="142"/>
        </w:trPr>
        <w:tc>
          <w:tcPr>
            <w:tcW w:w="44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1E2B72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1E2B72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ro-RO" w:eastAsia="ru-RU"/>
              </w:rPr>
              <w:t>1</w:t>
            </w:r>
          </w:p>
        </w:tc>
        <w:tc>
          <w:tcPr>
            <w:tcW w:w="8134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1E2B72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ro-RO" w:eastAsia="ru-RU"/>
              </w:rPr>
            </w:pPr>
            <w:r w:rsidRPr="001E2B72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ro-RO" w:eastAsia="ru-RU"/>
              </w:rPr>
              <w:t>2</w:t>
            </w:r>
          </w:p>
        </w:tc>
        <w:tc>
          <w:tcPr>
            <w:tcW w:w="17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1E2B72" w:rsidRDefault="001F4E20" w:rsidP="001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1E2B72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3</w:t>
            </w:r>
          </w:p>
        </w:tc>
      </w:tr>
      <w:tr w:rsidR="001F4E20" w:rsidRPr="0077274B" w:rsidTr="00AF1111">
        <w:trPr>
          <w:trHeight w:val="203"/>
        </w:trPr>
        <w:tc>
          <w:tcPr>
            <w:tcW w:w="44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7592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Profit net</w:t>
            </w:r>
            <w:r w:rsidR="00ED1B22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537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(lei)</w:t>
            </w:r>
            <w:r w:rsidR="00ED1B22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7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F4E20" w:rsidRPr="0077274B" w:rsidTr="00AF1111">
        <w:tc>
          <w:tcPr>
            <w:tcW w:w="44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7592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ED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Cota profitului net repartizat la defalcări în buget </w:t>
            </w:r>
          </w:p>
        </w:tc>
        <w:tc>
          <w:tcPr>
            <w:tcW w:w="537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3D466A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1F4E20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(%)</w:t>
            </w:r>
          </w:p>
        </w:tc>
        <w:tc>
          <w:tcPr>
            <w:tcW w:w="17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F4E20" w:rsidRPr="0077274B" w:rsidTr="00AF1111">
        <w:tc>
          <w:tcPr>
            <w:tcW w:w="44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7592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Defalcări din profitul net, spre achitare la buget cu bunuri</w:t>
            </w:r>
          </w:p>
        </w:tc>
        <w:tc>
          <w:tcPr>
            <w:tcW w:w="537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(lei)</w:t>
            </w: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</w:t>
            </w:r>
          </w:p>
        </w:tc>
        <w:tc>
          <w:tcPr>
            <w:tcW w:w="17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E20" w:rsidRPr="001E2B72" w:rsidTr="00AF1111">
        <w:tc>
          <w:tcPr>
            <w:tcW w:w="44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7592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1111" w:rsidRDefault="001F4E20" w:rsidP="00AF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Defalcări din profitul net, spre achitar</w:t>
            </w:r>
            <w:r w:rsidR="001E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e la buget prin virament </w:t>
            </w:r>
          </w:p>
          <w:p w:rsidR="001F4E20" w:rsidRPr="0077274B" w:rsidRDefault="001E2B72" w:rsidP="00AF1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((rândul 1 × rândul 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2 : 100)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–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rândul </w:t>
            </w:r>
            <w:r w:rsidR="001F4E20"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3)</w:t>
            </w:r>
            <w:r w:rsidR="00ED1B22"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AF111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537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AF1111" w:rsidP="00ED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(lei)</w:t>
            </w:r>
          </w:p>
        </w:tc>
        <w:tc>
          <w:tcPr>
            <w:tcW w:w="173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4E20" w:rsidRPr="0077274B" w:rsidRDefault="001F4E20" w:rsidP="001F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</w:t>
            </w:r>
          </w:p>
        </w:tc>
      </w:tr>
    </w:tbl>
    <w:p w:rsidR="00D85045" w:rsidRPr="0077274B" w:rsidRDefault="0075168D" w:rsidP="00751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br/>
      </w:r>
    </w:p>
    <w:p w:rsidR="0077274B" w:rsidRDefault="0077274B" w:rsidP="00751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1111" w:rsidRPr="0077274B" w:rsidRDefault="00AF1111" w:rsidP="00751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51DD" w:rsidRPr="0077274B" w:rsidRDefault="001551DD" w:rsidP="00751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274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Secțiunea a patra</w:t>
      </w:r>
    </w:p>
    <w:p w:rsidR="001551DD" w:rsidRPr="0077274B" w:rsidRDefault="001551DD" w:rsidP="00155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7274B">
        <w:rPr>
          <w:rFonts w:ascii="Times New Roman" w:hAnsi="Times New Roman" w:cs="Times New Roman"/>
          <w:i/>
          <w:sz w:val="24"/>
          <w:szCs w:val="24"/>
          <w:lang w:val="ro-RO"/>
        </w:rPr>
        <w:t>Notă la rândul 4 din Secțiunea a treia din Declarație</w:t>
      </w:r>
    </w:p>
    <w:p w:rsidR="001551DD" w:rsidRPr="00AF1111" w:rsidRDefault="001551DD" w:rsidP="001551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F111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Repartizarea pe bugetele locale a defalcărilor calculate din profitul net și achitate către </w:t>
      </w:r>
      <w:r w:rsidR="00AF1111" w:rsidRPr="00AF1111">
        <w:rPr>
          <w:rFonts w:ascii="Times New Roman" w:hAnsi="Times New Roman" w:cs="Times New Roman"/>
          <w:b/>
          <w:i/>
          <w:sz w:val="24"/>
          <w:szCs w:val="24"/>
          <w:lang w:val="ro-RO"/>
        </w:rPr>
        <w:t>fondator/fondatori</w:t>
      </w:r>
    </w:p>
    <w:p w:rsidR="001551DD" w:rsidRPr="0077274B" w:rsidRDefault="001551DD" w:rsidP="0015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94"/>
        <w:gridCol w:w="2484"/>
        <w:gridCol w:w="2410"/>
        <w:gridCol w:w="2835"/>
      </w:tblGrid>
      <w:tr w:rsidR="001F4E20" w:rsidRPr="006C4EA2" w:rsidTr="00AF1111">
        <w:trPr>
          <w:trHeight w:val="449"/>
        </w:trPr>
        <w:tc>
          <w:tcPr>
            <w:tcW w:w="704" w:type="dxa"/>
            <w:vMerge w:val="restart"/>
          </w:tcPr>
          <w:p w:rsidR="001F4E20" w:rsidRPr="0077274B" w:rsidRDefault="001F4E20" w:rsidP="00ED1B22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crt</w:t>
            </w:r>
            <w:r w:rsidR="00ED1B22"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1F4E20" w:rsidRPr="0077274B" w:rsidRDefault="001F4E20" w:rsidP="00ED1B2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 xml:space="preserve">Bugetele   </w:t>
            </w:r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locale</w:t>
            </w:r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 xml:space="preserve">  de nivelul al doilea</w:t>
            </w:r>
            <w:r w:rsidR="00ED1B22" w:rsidRPr="007727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B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ugetele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 xml:space="preserve">locale de nivelul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întîi</w:t>
            </w:r>
            <w:proofErr w:type="spellEnd"/>
          </w:p>
        </w:tc>
      </w:tr>
      <w:tr w:rsidR="001F4E20" w:rsidRPr="006C4EA2" w:rsidTr="003D466A">
        <w:trPr>
          <w:trHeight w:val="257"/>
        </w:trPr>
        <w:tc>
          <w:tcPr>
            <w:tcW w:w="704" w:type="dxa"/>
            <w:vMerge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Codul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localităţii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(CUATM) </w:t>
            </w: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2484" w:type="dxa"/>
          </w:tcPr>
          <w:p w:rsidR="001F4E20" w:rsidRPr="0077274B" w:rsidRDefault="001F4E20" w:rsidP="00ED1B2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Defalcări</w:t>
            </w:r>
            <w:r w:rsidR="00ED1B22"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din profitul net spre achitare</w:t>
            </w:r>
          </w:p>
        </w:tc>
        <w:tc>
          <w:tcPr>
            <w:tcW w:w="2410" w:type="dxa"/>
          </w:tcPr>
          <w:p w:rsidR="001F4E20" w:rsidRPr="0077274B" w:rsidRDefault="001F4E20" w:rsidP="00ED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Codul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localităţii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(CUATM) </w:t>
            </w: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   </w:t>
            </w:r>
          </w:p>
        </w:tc>
        <w:tc>
          <w:tcPr>
            <w:tcW w:w="2835" w:type="dxa"/>
          </w:tcPr>
          <w:p w:rsidR="001F4E20" w:rsidRPr="0077274B" w:rsidRDefault="001F4E20" w:rsidP="00ED1B2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Defalcări din profitul net spre achitare                  </w:t>
            </w:r>
          </w:p>
        </w:tc>
      </w:tr>
      <w:tr w:rsidR="001F4E20" w:rsidRPr="0077274B" w:rsidTr="003D466A">
        <w:trPr>
          <w:trHeight w:val="125"/>
        </w:trPr>
        <w:tc>
          <w:tcPr>
            <w:tcW w:w="704" w:type="dxa"/>
          </w:tcPr>
          <w:p w:rsidR="001F4E20" w:rsidRPr="00AF1111" w:rsidRDefault="001F4E20" w:rsidP="001F4E2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F1111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1F4E20" w:rsidRPr="00AF1111" w:rsidRDefault="001F4E20" w:rsidP="001F4E2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AF1111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2</w:t>
            </w:r>
          </w:p>
        </w:tc>
        <w:tc>
          <w:tcPr>
            <w:tcW w:w="2484" w:type="dxa"/>
          </w:tcPr>
          <w:p w:rsidR="001F4E20" w:rsidRPr="00AF1111" w:rsidRDefault="001F4E20" w:rsidP="001F4E2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AF1111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3</w:t>
            </w:r>
          </w:p>
        </w:tc>
        <w:tc>
          <w:tcPr>
            <w:tcW w:w="2410" w:type="dxa"/>
          </w:tcPr>
          <w:p w:rsidR="001F4E20" w:rsidRPr="00AF1111" w:rsidRDefault="001F4E20" w:rsidP="001F4E2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AF1111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4</w:t>
            </w:r>
          </w:p>
        </w:tc>
        <w:tc>
          <w:tcPr>
            <w:tcW w:w="2835" w:type="dxa"/>
          </w:tcPr>
          <w:p w:rsidR="001F4E20" w:rsidRPr="00AF1111" w:rsidRDefault="001F4E20" w:rsidP="001F4E2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</w:pPr>
            <w:r w:rsidRPr="00AF1111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ro-RO" w:eastAsia="ru-RU"/>
              </w:rPr>
              <w:t>5</w:t>
            </w: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3D466A">
        <w:tc>
          <w:tcPr>
            <w:tcW w:w="70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1F4E20" w:rsidRPr="0077274B" w:rsidTr="001551DD">
        <w:tc>
          <w:tcPr>
            <w:tcW w:w="2898" w:type="dxa"/>
            <w:gridSpan w:val="2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Total profit net</w:t>
            </w:r>
            <w:r w:rsidR="00ED1B22" w:rsidRPr="00772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484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7274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x</w:t>
            </w:r>
          </w:p>
        </w:tc>
        <w:tc>
          <w:tcPr>
            <w:tcW w:w="2835" w:type="dxa"/>
          </w:tcPr>
          <w:p w:rsidR="001F4E20" w:rsidRPr="0077274B" w:rsidRDefault="001F4E20" w:rsidP="001F4E2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D85045" w:rsidRPr="0077274B" w:rsidRDefault="00D85045" w:rsidP="00D85045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97A4D" w:rsidRPr="0077274B" w:rsidRDefault="00597A4D" w:rsidP="00F65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F659F3" w:rsidRPr="0077274B" w:rsidRDefault="00F659F3" w:rsidP="0059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Ne asumăm răspunderea prevăzută de </w:t>
      </w:r>
      <w:proofErr w:type="spellStart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legislaţie</w:t>
      </w:r>
      <w:proofErr w:type="spellEnd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în caz de prezentare de date </w:t>
      </w:r>
      <w:proofErr w:type="spellStart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informaţii</w:t>
      </w:r>
      <w:proofErr w:type="spellEnd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false sau eronate</w:t>
      </w:r>
      <w:r w:rsidR="00597A4D"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.</w:t>
      </w:r>
    </w:p>
    <w:p w:rsidR="00F659F3" w:rsidRPr="0077274B" w:rsidRDefault="00F659F3" w:rsidP="00F6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 </w:t>
      </w:r>
    </w:p>
    <w:p w:rsidR="00F659F3" w:rsidRPr="0077274B" w:rsidRDefault="00F659F3" w:rsidP="00F6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Conducătorul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________________</w:t>
      </w:r>
    </w:p>
    <w:p w:rsidR="00F659F3" w:rsidRPr="0077274B" w:rsidRDefault="00F659F3" w:rsidP="00F6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F659F3" w:rsidRPr="0077274B" w:rsidRDefault="00F659F3" w:rsidP="00F6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Contabilul-</w:t>
      </w:r>
      <w:proofErr w:type="spellStart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şef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______________</w:t>
      </w:r>
      <w:r w:rsidR="0083369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</w:t>
      </w:r>
    </w:p>
    <w:p w:rsidR="00F659F3" w:rsidRPr="0077274B" w:rsidRDefault="00F659F3" w:rsidP="00F659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F659F3" w:rsidRPr="0077274B" w:rsidRDefault="00F659F3" w:rsidP="00F659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7A4D" w:rsidRDefault="00597A4D" w:rsidP="0039004D">
      <w:pPr>
        <w:spacing w:after="0"/>
        <w:rPr>
          <w:rFonts w:ascii="Times New Roman" w:hAnsi="Times New Roman" w:cs="Times New Roman"/>
          <w:i/>
          <w:sz w:val="24"/>
          <w:szCs w:val="16"/>
          <w:lang w:val="ro-RO"/>
        </w:rPr>
      </w:pPr>
    </w:p>
    <w:p w:rsidR="00597A4D" w:rsidRDefault="00597A4D" w:rsidP="00F659F3">
      <w:pPr>
        <w:spacing w:after="0"/>
        <w:jc w:val="right"/>
        <w:rPr>
          <w:rFonts w:ascii="Times New Roman" w:hAnsi="Times New Roman" w:cs="Times New Roman"/>
          <w:i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</w:p>
    <w:p w:rsidR="00291EB4" w:rsidRDefault="00291EB4" w:rsidP="0077274B">
      <w:pPr>
        <w:spacing w:after="0"/>
        <w:rPr>
          <w:rFonts w:ascii="Times New Roman" w:hAnsi="Times New Roman" w:cs="Times New Roman"/>
          <w:sz w:val="24"/>
          <w:szCs w:val="16"/>
          <w:lang w:val="ro-RO"/>
        </w:rPr>
      </w:pPr>
    </w:p>
    <w:p w:rsidR="00F659F3" w:rsidRPr="00291EB4" w:rsidRDefault="00F659F3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  <w:r w:rsidRPr="00291EB4">
        <w:rPr>
          <w:rFonts w:ascii="Times New Roman" w:hAnsi="Times New Roman" w:cs="Times New Roman"/>
          <w:sz w:val="24"/>
          <w:szCs w:val="16"/>
          <w:lang w:val="ro-RO"/>
        </w:rPr>
        <w:t>Anexa nr.2 la Ordinul Serviciului Fiscal de Stat</w:t>
      </w:r>
    </w:p>
    <w:p w:rsidR="00F659F3" w:rsidRPr="00291EB4" w:rsidRDefault="00F659F3" w:rsidP="00F659F3">
      <w:pPr>
        <w:spacing w:after="0"/>
        <w:jc w:val="right"/>
        <w:rPr>
          <w:rFonts w:ascii="Times New Roman" w:hAnsi="Times New Roman" w:cs="Times New Roman"/>
          <w:sz w:val="24"/>
          <w:szCs w:val="16"/>
          <w:lang w:val="ro-RO"/>
        </w:rPr>
      </w:pPr>
      <w:r w:rsidRPr="00291EB4">
        <w:rPr>
          <w:rFonts w:ascii="Times New Roman" w:hAnsi="Times New Roman" w:cs="Times New Roman"/>
          <w:sz w:val="24"/>
          <w:szCs w:val="16"/>
          <w:lang w:val="ro-RO"/>
        </w:rPr>
        <w:t xml:space="preserve">nr. </w:t>
      </w:r>
      <w:r w:rsidR="006C4EA2">
        <w:rPr>
          <w:rFonts w:ascii="Times New Roman" w:hAnsi="Times New Roman" w:cs="Times New Roman"/>
          <w:sz w:val="24"/>
          <w:szCs w:val="16"/>
          <w:lang w:val="ro-RO"/>
        </w:rPr>
        <w:t>_____ din ___________2024</w:t>
      </w:r>
    </w:p>
    <w:p w:rsidR="00F659F3" w:rsidRDefault="00F659F3" w:rsidP="00F659F3">
      <w:pPr>
        <w:spacing w:after="0"/>
        <w:jc w:val="right"/>
        <w:rPr>
          <w:rFonts w:ascii="Times New Roman" w:hAnsi="Times New Roman" w:cs="Times New Roman"/>
          <w:i/>
          <w:sz w:val="24"/>
          <w:szCs w:val="16"/>
          <w:lang w:val="ro-RO"/>
        </w:rPr>
      </w:pPr>
    </w:p>
    <w:p w:rsidR="00F659F3" w:rsidRDefault="00F659F3" w:rsidP="00F659F3">
      <w:pPr>
        <w:spacing w:after="0"/>
        <w:jc w:val="right"/>
        <w:rPr>
          <w:rFonts w:ascii="Times New Roman" w:hAnsi="Times New Roman" w:cs="Times New Roman"/>
          <w:i/>
          <w:sz w:val="24"/>
          <w:szCs w:val="16"/>
          <w:lang w:val="ro-RO"/>
        </w:rPr>
      </w:pPr>
    </w:p>
    <w:p w:rsidR="00F659F3" w:rsidRPr="00F659F3" w:rsidRDefault="00F659F3" w:rsidP="00F659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F659F3" w:rsidRPr="0077274B" w:rsidRDefault="00F659F3" w:rsidP="007727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Modul de completare </w:t>
      </w:r>
    </w:p>
    <w:p w:rsidR="00F659F3" w:rsidRPr="0077274B" w:rsidRDefault="00F659F3" w:rsidP="007727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</w:t>
      </w:r>
      <w:r w:rsidR="00A9152D"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l</w:t>
      </w:r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Declarației</w:t>
      </w:r>
      <w:r w:rsidRPr="00772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cu privire la dividendele și defalcările din profitul net ce urmează a fi achitate la buget de către </w:t>
      </w:r>
      <w:proofErr w:type="spellStart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societăţile</w:t>
      </w:r>
      <w:proofErr w:type="spellEnd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pe </w:t>
      </w:r>
      <w:proofErr w:type="spellStart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, întreprinderile de stat </w:t>
      </w:r>
      <w:proofErr w:type="spellStart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municipale (forma DDP23)</w:t>
      </w:r>
    </w:p>
    <w:p w:rsidR="0039004D" w:rsidRPr="0077274B" w:rsidRDefault="0039004D" w:rsidP="007727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B4619A" w:rsidRPr="0077274B" w:rsidRDefault="00B4619A" w:rsidP="0077274B">
      <w:pPr>
        <w:pStyle w:val="ListParagraph"/>
        <w:numPr>
          <w:ilvl w:val="0"/>
          <w:numId w:val="1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La completarea </w:t>
      </w:r>
      <w:proofErr w:type="spellStart"/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informaţiei</w:t>
      </w:r>
      <w:proofErr w:type="spellEnd"/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 generale din Declarația cu privire la dividendele și defalcările din profitul net ce urmează a fi achitate la buget de către </w:t>
      </w:r>
      <w:proofErr w:type="spellStart"/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societăţile</w:t>
      </w:r>
      <w:proofErr w:type="spellEnd"/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 pe </w:t>
      </w:r>
      <w:proofErr w:type="spellStart"/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, întreprinderile de stat </w:t>
      </w:r>
      <w:proofErr w:type="spellStart"/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 xml:space="preserve"> municipale,</w:t>
      </w:r>
      <w:r w:rsidRPr="0077274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contribuabilul urmează să indice:</w:t>
      </w:r>
    </w:p>
    <w:p w:rsidR="00B4619A" w:rsidRPr="00B4619A" w:rsidRDefault="00B4619A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1) La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„</w:t>
      </w:r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Codul fiscal al contribuabilului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codul fiscal ce reprezintă numărul personal de identificare al contribuabilului, atribuit în modul stabilit de </w:t>
      </w:r>
      <w:proofErr w:type="spellStart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legislaţia</w:t>
      </w:r>
      <w:proofErr w:type="spellEnd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vigoare;</w:t>
      </w:r>
    </w:p>
    <w:p w:rsidR="00B4619A" w:rsidRPr="00B4619A" w:rsidRDefault="00B4619A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2) La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„</w:t>
      </w:r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Denumirea contribuabilului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denumirea contribuabilului care completează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Declarația cu privire la dividendele și defalcările din profitul net ce urmează a fi achitate la buget de către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societăţile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întreprinderile de stat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municipale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(în continuare –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Declarația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), care trebuie să corespundă cu cea indicată în documentele de constituire, eliberate de către organele abilitate, conform </w:t>
      </w:r>
      <w:proofErr w:type="spellStart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legislaţiei</w:t>
      </w:r>
      <w:proofErr w:type="spellEnd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vigoare;</w:t>
      </w:r>
    </w:p>
    <w:p w:rsidR="00B4619A" w:rsidRPr="00B4619A" w:rsidRDefault="00B4619A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3) La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„</w:t>
      </w:r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Codul </w:t>
      </w:r>
      <w:proofErr w:type="spellStart"/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localităţii</w:t>
      </w:r>
      <w:proofErr w:type="spellEnd"/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(CUATM)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codul </w:t>
      </w:r>
      <w:proofErr w:type="spellStart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localităţii</w:t>
      </w:r>
      <w:proofErr w:type="spellEnd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conform adresei juridice (sediul), care corespunde datelor de înreg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istrare 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activităţii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indicate în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registrele </w:t>
      </w:r>
      <w:r w:rsidR="00AF111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gestionate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 autoritatea competentă </w:t>
      </w:r>
      <w:proofErr w:type="spellStart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care corespunde codului din patru cifre;</w:t>
      </w:r>
    </w:p>
    <w:p w:rsidR="00B4619A" w:rsidRPr="00B4619A" w:rsidRDefault="00B4619A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4) ) La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„</w:t>
      </w:r>
      <w:r w:rsidRPr="0077274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S</w:t>
      </w:r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ubdiviziunea Serviciului Fiscal de Stat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 subdiviziunii Serviciului Fiscal de Stat, care corespunde cu denumirea subdiviziunii Serviciului Fiscal de Stat în raza căreia este înregistrat sediul contribuabilului ce practică activitate de întreprinzător;</w:t>
      </w:r>
    </w:p>
    <w:p w:rsidR="00B4619A" w:rsidRPr="00B4619A" w:rsidRDefault="00B4619A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5) La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„</w:t>
      </w:r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Codul genului principal de activitate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 genului principal de activitate deter</w:t>
      </w:r>
      <w:r w:rsidR="00AF111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minat conform Clasificatorului </w:t>
      </w:r>
      <w:proofErr w:type="spellStart"/>
      <w:r w:rsidR="00AF111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Activităţilor</w:t>
      </w:r>
      <w:proofErr w:type="spellEnd"/>
      <w:r w:rsidR="00AF111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E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conomia Moldovei (CAEM</w:t>
      </w:r>
      <w:r w:rsidR="00AF111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-2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 (în continuare </w:t>
      </w:r>
      <w:r w:rsidR="00AF111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CAEM) </w:t>
      </w:r>
      <w:proofErr w:type="spellStart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care corespunde codului din patru cifre;</w:t>
      </w:r>
    </w:p>
    <w:p w:rsidR="00B4619A" w:rsidRPr="00B4619A" w:rsidRDefault="00B4619A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6) La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„</w:t>
      </w:r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Data prezentării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data prezentării </w:t>
      </w:r>
      <w:r w:rsidR="00AC120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Declarației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subdiviziunii Serviciului Fiscal de Stat;</w:t>
      </w:r>
    </w:p>
    <w:p w:rsidR="00B4619A" w:rsidRPr="00B4619A" w:rsidRDefault="00B4619A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7) La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„</w:t>
      </w:r>
      <w:r w:rsidRPr="00B4619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Perioada fiscală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perioada fiscală pentru care se depune</w:t>
      </w:r>
      <w:r w:rsidR="00AC120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Declarația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Perioada fiscală se completează cu un cod, care are următoarea structură: P/AAAA (unde P – este codul perioadei fiscale care </w:t>
      </w:r>
      <w:proofErr w:type="spellStart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obţine</w:t>
      </w:r>
      <w:proofErr w:type="spellEnd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valoarea A, iar AAAA – anul.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Declarația 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este anuală </w:t>
      </w:r>
      <w:proofErr w:type="spellStart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prezintă subdiviziunii Serviciului Fiscal de Stat </w:t>
      </w:r>
      <w:proofErr w:type="spellStart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pînă</w:t>
      </w:r>
      <w:proofErr w:type="spellEnd"/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30 august inclusiv a anului următor anului de gestiune. De exemp</w:t>
      </w:r>
      <w:r w:rsidR="006862B4"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lu, pentru perioada fiscală 2023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codul perioadei fiscale va av</w:t>
      </w:r>
      <w:r w:rsidR="006862B4"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ea următoarea structură – A/2023</w:t>
      </w:r>
      <w:r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B4619A" w:rsidRPr="0077274B" w:rsidRDefault="006862B4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8) La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„</w:t>
      </w:r>
      <w:r w:rsidR="00AC1201" w:rsidRPr="00AC120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Data adoptării deciziei de achitare a dividendelor/defalcărilor la buget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”</w:t>
      </w:r>
      <w:r w:rsidR="00B4619A"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="00B4619A"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data adoptării Deciziei privind repartizarea a unei </w:t>
      </w:r>
      <w:proofErr w:type="spellStart"/>
      <w:r w:rsidR="00B4619A"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părţi</w:t>
      </w:r>
      <w:proofErr w:type="spellEnd"/>
      <w:r w:rsidR="00B4619A"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profitul net pentru plata dividendelor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/defalcărilor</w:t>
      </w:r>
      <w:r w:rsidR="00B4619A" w:rsidRPr="00B4619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6862B4" w:rsidRPr="00B4619A" w:rsidRDefault="006862B4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34086" w:rsidRPr="0077274B" w:rsidRDefault="00234086" w:rsidP="0077274B">
      <w:pPr>
        <w:pStyle w:val="ListParagraph"/>
        <w:numPr>
          <w:ilvl w:val="0"/>
          <w:numId w:val="15"/>
        </w:numPr>
        <w:tabs>
          <w:tab w:val="left" w:pos="567"/>
        </w:tabs>
        <w:spacing w:after="120" w:line="276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Secțiunea întâi și a doua</w:t>
      </w:r>
    </w:p>
    <w:p w:rsidR="00291EB4" w:rsidRPr="0077274B" w:rsidRDefault="006862B4" w:rsidP="0077274B">
      <w:pPr>
        <w:tabs>
          <w:tab w:val="left" w:pos="567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  <w:tab/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Secțiunea</w:t>
      </w:r>
      <w:r w:rsidRPr="0077274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întâi și a doua se completează doar de către societățile pe acțiuni</w:t>
      </w:r>
      <w:r w:rsidR="00291EB4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.</w:t>
      </w:r>
    </w:p>
    <w:p w:rsidR="00291EB4" w:rsidRPr="0077274B" w:rsidRDefault="00291EB4" w:rsidP="0077274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  <w:tab/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La completarea </w:t>
      </w: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  <w:t>secțiunii întâi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 indică:</w:t>
      </w:r>
    </w:p>
    <w:p w:rsidR="00291EB4" w:rsidRPr="0077274B" w:rsidRDefault="00291EB4" w:rsidP="0077274B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ab/>
        <w:t>1) În rândul 1 – suma capitalului social (se indică lei);</w:t>
      </w:r>
    </w:p>
    <w:p w:rsidR="00291EB4" w:rsidRPr="0077274B" w:rsidRDefault="00291EB4" w:rsidP="0077274B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ab/>
        <w:t xml:space="preserve">2) În rândul 2 – cota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proprietăţii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publice în capitalul social, total (se indică în procente);</w:t>
      </w:r>
    </w:p>
    <w:p w:rsidR="00291EB4" w:rsidRPr="0077274B" w:rsidRDefault="00291EB4" w:rsidP="0077274B">
      <w:pPr>
        <w:tabs>
          <w:tab w:val="left" w:pos="567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3) În rândul 2.1 – cota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proprietăţii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bugetului de stat în societatea pe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(se indică în procente);</w:t>
      </w:r>
    </w:p>
    <w:p w:rsidR="00291EB4" w:rsidRPr="0077274B" w:rsidRDefault="00291EB4" w:rsidP="0077274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lastRenderedPageBreak/>
        <w:t xml:space="preserve">4) În rândul 2.2 – cota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proprietăţii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bugetelor locale de nivelul al doilea, care potrivit prevederilor art.1 din Legea privind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finanţele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publice locale nr.397/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2003, reprezintă bugetele raionale, bugetul central al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unităţii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teritoriale autonome cu statut juridic special, bugetele municipale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Bălţi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Chişinău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(se indică în procente);</w:t>
      </w:r>
    </w:p>
    <w:p w:rsidR="00291EB4" w:rsidRPr="0077274B" w:rsidRDefault="00291EB4" w:rsidP="0077274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5) În rândul 2.3 – cota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proprietăţii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bugetelor locale de nivelul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întîi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societatea pe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, care reprezintă bugetele satelor (comunelor),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oraşelor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(municipiilor, cu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excepţia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municipiilor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Bălţi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Chişinău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) (se indică în procente);</w:t>
      </w:r>
    </w:p>
    <w:p w:rsidR="00291EB4" w:rsidRPr="0077274B" w:rsidRDefault="00291EB4" w:rsidP="0077274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6) În rândul 3 – suma profitului net al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societăţii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pentru anul de gestiune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7) În rândul 4 –</w:t>
      </w:r>
      <w:r w:rsidR="00AC120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cota din profitul net repartizată la plata dividendelor (se indică în procente);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8) În rândul 5 – suma dividendelor aferente cotei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proprietăţii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publice în societate</w:t>
      </w:r>
      <w:r w:rsidR="00AC120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9) În rândul 5.1 – suma dividendelor aferente cotei statului în societatea pe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10) În rândul 5.2 – suma dividendelor aferente cotei bugetelor locale de nivelul al doilea în societatea pe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(se indică în lei),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componenţa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bugetelor este enumerată în </w:t>
      </w:r>
      <w:r w:rsidR="00AC120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subpunctul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4</w:t>
      </w:r>
      <w:r w:rsidR="00AC120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)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11) În rândul 5.3 – suma dividendelor aferente cotei bugetelor locale de nivelul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întîi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societatea pe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(se indică în lei), </w:t>
      </w:r>
      <w:proofErr w:type="spellStart"/>
      <w:r w:rsidR="00AC1201" w:rsidRPr="00AC120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componenţa</w:t>
      </w:r>
      <w:proofErr w:type="spellEnd"/>
      <w:r w:rsidR="00AC1201" w:rsidRPr="00AC120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bugetelo</w:t>
      </w:r>
      <w:r w:rsidR="00AC120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 este enumerată în subpunctul 5</w:t>
      </w:r>
      <w:r w:rsidR="00AC1201" w:rsidRPr="00AC120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12) În</w:t>
      </w:r>
      <w:r w:rsidRPr="0077274B">
        <w:rPr>
          <w:rFonts w:ascii="Times New Roman" w:hAnsi="Times New Roman" w:cs="Times New Roman"/>
          <w:sz w:val="24"/>
          <w:szCs w:val="24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rândul 6 – suma costului bunurilor îndreptate în contul achitării dividendelor corespunzătoare cotei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proprietăţii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publice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13) În rândul 6.1 – suma costului bunurilor îndreptate în contul achitării dividendelor corespunzătoare cotei statului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14) În rândul 6.2 – suma costului bunurilor îndreptate în contul achitării dividendelor corespunzătoare cotei bugetelor locale de nivelul al doilea,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componenţa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bugetelor este enumerată în pct.4 din anexa nr.2 la prezentul Ordin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15) În rândul 6.3 – suma costului bunurilor îndreptate în contul achitării dividendelor corespunzătoare cotei bugetelor locale de nivelul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întîi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,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componenţa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bugetelor este enumerată în pct.5 din anexa nr.2 la prezentul Ordin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16) În rândul 7 – suma dividendelor spre achitare la bugetul public, total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17) În rândul 7.1 – suma dividendelor spre achitare la bugetul de stat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18) În rândul 7.2 – suma dividendelor spre achitare la bugetele locale de nivelul al doilea,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componenţa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bugetelor este enumerată în pct.4 din anexa nr.2 la prezentul Ordin (se indică în lei);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19) În rândul 7.3 – suma dividendelor spre achitare prin virament la bugetele locale de nivelul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întîi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(se indică în lei), </w:t>
      </w:r>
      <w:proofErr w:type="spellStart"/>
      <w:r w:rsidR="00C95CDD" w:rsidRPr="00C95CDD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componenţa</w:t>
      </w:r>
      <w:proofErr w:type="spellEnd"/>
      <w:r w:rsidR="00C95CDD" w:rsidRPr="00C95CDD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bugetelor este enumerată în subpunctul 5)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.</w:t>
      </w:r>
    </w:p>
    <w:p w:rsidR="00291EB4" w:rsidRPr="0077274B" w:rsidRDefault="00291EB4" w:rsidP="0077274B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o-RO"/>
        </w:rPr>
        <w:t>Notă</w:t>
      </w:r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: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Rîndurile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6, 6.1, 6.2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6.3 se completează doar în cazul în care societatea pe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acţiuni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, în temeiul actului normativ corespunzător, achită cu bunuri în contul stingerii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obligaţiei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privind dividendele aferente cotei-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părţi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a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proprietăţii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publice. În declarație se indică valoarea acestor bunuri.</w:t>
      </w:r>
    </w:p>
    <w:p w:rsidR="0077274B" w:rsidRDefault="00291EB4" w:rsidP="0077274B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ab/>
      </w:r>
    </w:p>
    <w:p w:rsidR="00291EB4" w:rsidRPr="0077274B" w:rsidRDefault="0077274B" w:rsidP="0077274B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ab/>
      </w:r>
      <w:r w:rsidR="00291EB4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La completarea </w:t>
      </w:r>
      <w:r w:rsidR="00291EB4" w:rsidRPr="0077274B"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  <w:t>secțiunii a doua</w:t>
      </w:r>
      <w:r w:rsidR="00291EB4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 indică:</w:t>
      </w:r>
    </w:p>
    <w:p w:rsidR="002B3DF6" w:rsidRPr="0077274B" w:rsidRDefault="00291EB4" w:rsidP="0077274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ab/>
      </w:r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1) În coloana 2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coloana 4 „Codul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localităţii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(CUATM)”</w:t>
      </w:r>
      <w:r w:rsidR="0023408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-</w:t>
      </w:r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codul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localităţii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,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unităţilor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administrativ-teritoriale unde societatea pe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acţiuni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transferă dividendele calculate potr</w:t>
      </w:r>
      <w:r w:rsidR="00C95CDD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ivit cotei </w:t>
      </w:r>
      <w:proofErr w:type="spellStart"/>
      <w:r w:rsidR="00C95CDD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proprietăţii</w:t>
      </w:r>
      <w:proofErr w:type="spellEnd"/>
      <w:r w:rsidR="00C95CDD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publice</w:t>
      </w:r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capitalul social al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societăţii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care corespund datelor de înregistrare a fondatorului (adresa juridică)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reprezintă codul unic de identificare (4 semne) conform Clasificatorului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unităţilor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administrativ-teritoriale al Republicii Moldova (CUATM), categoria nivelelor bugetelor locale sunt expuse</w:t>
      </w:r>
      <w:r w:rsidR="00C95CDD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subpunctele </w:t>
      </w:r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4 </w:t>
      </w:r>
      <w:proofErr w:type="spellStart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="002B3DF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5 din modul de completare a secțiunii întâi;</w:t>
      </w:r>
    </w:p>
    <w:p w:rsidR="002B3DF6" w:rsidRPr="0077274B" w:rsidRDefault="002B3DF6" w:rsidP="0077274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ab/>
        <w:t xml:space="preserve">2) în coloana 3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coloana 5 „Dividende spre achitare” </w:t>
      </w:r>
      <w:r w:rsidR="00234086"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-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suma dividendelor calculate din profitul net al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societăţii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ce urmează a fi îndreptată spre achitare fondatorului/fondatorilor (se indică în lei).</w:t>
      </w:r>
    </w:p>
    <w:p w:rsidR="00291EB4" w:rsidRPr="0077274B" w:rsidRDefault="002B3DF6" w:rsidP="0077274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  <w:lastRenderedPageBreak/>
        <w:tab/>
      </w:r>
      <w:r w:rsidRPr="0077274B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o-RO"/>
        </w:rPr>
        <w:t>Notă:</w:t>
      </w:r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Secțiunea a doua se completează doar în cazurile în care entitatea urmează să repartizeze suma dividendelor achitate către fondator/fondatori pe bugetele locale de nivelul al doilea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de nivelul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întîi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.</w:t>
      </w:r>
    </w:p>
    <w:p w:rsidR="002B3DF6" w:rsidRPr="0077274B" w:rsidRDefault="002B3DF6" w:rsidP="0077274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</w:p>
    <w:p w:rsidR="002B3DF6" w:rsidRPr="0077274B" w:rsidRDefault="002B3DF6" w:rsidP="0077274B">
      <w:pPr>
        <w:pStyle w:val="ListParagraph"/>
        <w:numPr>
          <w:ilvl w:val="0"/>
          <w:numId w:val="15"/>
        </w:numPr>
        <w:spacing w:line="276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  <w:t>Secțiunea a treia și a patra</w:t>
      </w:r>
    </w:p>
    <w:p w:rsidR="002B3DF6" w:rsidRPr="0077274B" w:rsidRDefault="002B3DF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Secțiunea a treia și a patra se completează doar de către întreprinderile de stat și întreprinderile municipale.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La completarea </w:t>
      </w: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  <w:t>secțiunii a treia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 indică: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1) În rândul 1 – suma profitului net al întreprinderii pentru anul de gestiune (se indică în lei);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2) În rândul 2 –</w:t>
      </w:r>
      <w:r w:rsidR="00C95CDD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cota din profitul net repartizat la defalcări în buget (se indică în procente);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3) În rândul 3 – suma defalcărilor din profitul net, ce urmează a fi îndreptat spre achitare la buget cu bunuri (se indică în lei). Rîndul se completează doar în cazurile în care întreprinderea de stat/municipală, în temeiul actului normativ corespunzător, achită cu bunuri în contul stingerii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obligaţiei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privind defalcările aferente cotei-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părţi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proprietăţii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publice. În </w:t>
      </w:r>
      <w:r w:rsidR="00C95CDD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declarație 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indică valoarea acestor bunuri;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4) În rândul 4 – suma defalcărilor din profitul net ce urmează a fi achitată la buget prin virament (se indică în lei).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La completarea </w:t>
      </w:r>
      <w:r w:rsidRPr="0077274B"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  <w:t>secțiunii a patra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 indică: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1) În coloana 2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coloana 4 „Codul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localităţii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(CUATM)” - codul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localităţii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,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unităţilor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administrativ-teritoriale unde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entităţile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transferă defalcările din profitul net, care corespund datelor de înregistrare a fondatorului/fondatorilor (adresa ju</w:t>
      </w:r>
      <w:r w:rsidR="00781464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ridică) indicată în registrele gestionate</w:t>
      </w: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de autoritatea competentă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care corespunde codului unic de identificare (4 semne) conform Clasificatorului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unităţilor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administrativ-teritoriale al Republicii Moldova (CUATM). Potrivit prevederilor art.1 din Legea privind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finanţele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publice locale nr.397/2003, bugetele locale de nivelul al doilea reprezintă bugetele raionale, bugetul central al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unităţii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teritoriale autonome cu statut juridic special, bugetele municipale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Bălţi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Chişinău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, iar bugetele locale de nivelul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întîi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reprezintă bugetele satelor (comunelor),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oraşelor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(municipiilor, cu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excepţia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municipiilor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Bălţi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Chişinău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);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2) În coloana 3 </w:t>
      </w:r>
      <w:proofErr w:type="spellStart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coloana 5 „Defalcări din profitul net spre achitare”-  suma defalcărilor calculate din profitul net al întreprinderii, ce urmează a fi îndreptată spre achitare fondatorului/fondatorilor (se indică în lei).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</w:pPr>
      <w:r w:rsidRPr="0077274B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o-RO"/>
        </w:rPr>
        <w:t>Notă:</w:t>
      </w:r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Secțiunea a patra se completează doar în cazurile în care întreprinderea </w:t>
      </w:r>
      <w:r w:rsid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de stat sau întreprinderea municipală </w:t>
      </w:r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urmează să repartizeze suma defalcărilor din profitul net pe bugetele locale de nivelul al doilea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şi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 xml:space="preserve"> nivelul </w:t>
      </w:r>
      <w:proofErr w:type="spellStart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întîi</w:t>
      </w:r>
      <w:proofErr w:type="spellEnd"/>
      <w:r w:rsidRPr="0077274B">
        <w:rPr>
          <w:rFonts w:ascii="Times New Roman" w:eastAsia="Times New Roman" w:hAnsi="Times New Roman" w:cs="Times New Roman"/>
          <w:i/>
          <w:sz w:val="24"/>
          <w:szCs w:val="24"/>
          <w:lang w:val="ro-MD" w:eastAsia="ro-RO"/>
        </w:rPr>
        <w:t>.</w:t>
      </w:r>
    </w:p>
    <w:p w:rsidR="00234086" w:rsidRPr="0077274B" w:rsidRDefault="00234086" w:rsidP="007727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</w:p>
    <w:p w:rsidR="00234086" w:rsidRPr="00234086" w:rsidRDefault="00234086" w:rsidP="0023408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</w:p>
    <w:p w:rsidR="0049229D" w:rsidRPr="0077274B" w:rsidRDefault="00234086" w:rsidP="007727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234086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ab/>
      </w:r>
    </w:p>
    <w:sectPr w:rsidR="0049229D" w:rsidRPr="0077274B" w:rsidSect="0049229D">
      <w:pgSz w:w="12240" w:h="15840"/>
      <w:pgMar w:top="709" w:right="630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B70"/>
    <w:multiLevelType w:val="hybridMultilevel"/>
    <w:tmpl w:val="633415C8"/>
    <w:lvl w:ilvl="0" w:tplc="226E34F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283703"/>
    <w:multiLevelType w:val="hybridMultilevel"/>
    <w:tmpl w:val="1412714E"/>
    <w:lvl w:ilvl="0" w:tplc="E5CAF17E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D27058C"/>
    <w:multiLevelType w:val="hybridMultilevel"/>
    <w:tmpl w:val="83166E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4F7C"/>
    <w:multiLevelType w:val="hybridMultilevel"/>
    <w:tmpl w:val="F3083096"/>
    <w:lvl w:ilvl="0" w:tplc="2B0E221C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6" w:hanging="360"/>
      </w:pPr>
    </w:lvl>
    <w:lvl w:ilvl="2" w:tplc="0418001B" w:tentative="1">
      <w:start w:val="1"/>
      <w:numFmt w:val="lowerRoman"/>
      <w:lvlText w:val="%3."/>
      <w:lvlJc w:val="right"/>
      <w:pPr>
        <w:ind w:left="2346" w:hanging="180"/>
      </w:pPr>
    </w:lvl>
    <w:lvl w:ilvl="3" w:tplc="0418000F" w:tentative="1">
      <w:start w:val="1"/>
      <w:numFmt w:val="decimal"/>
      <w:lvlText w:val="%4."/>
      <w:lvlJc w:val="left"/>
      <w:pPr>
        <w:ind w:left="3066" w:hanging="360"/>
      </w:pPr>
    </w:lvl>
    <w:lvl w:ilvl="4" w:tplc="04180019" w:tentative="1">
      <w:start w:val="1"/>
      <w:numFmt w:val="lowerLetter"/>
      <w:lvlText w:val="%5."/>
      <w:lvlJc w:val="left"/>
      <w:pPr>
        <w:ind w:left="3786" w:hanging="360"/>
      </w:pPr>
    </w:lvl>
    <w:lvl w:ilvl="5" w:tplc="0418001B" w:tentative="1">
      <w:start w:val="1"/>
      <w:numFmt w:val="lowerRoman"/>
      <w:lvlText w:val="%6."/>
      <w:lvlJc w:val="right"/>
      <w:pPr>
        <w:ind w:left="4506" w:hanging="180"/>
      </w:pPr>
    </w:lvl>
    <w:lvl w:ilvl="6" w:tplc="0418000F" w:tentative="1">
      <w:start w:val="1"/>
      <w:numFmt w:val="decimal"/>
      <w:lvlText w:val="%7."/>
      <w:lvlJc w:val="left"/>
      <w:pPr>
        <w:ind w:left="5226" w:hanging="360"/>
      </w:pPr>
    </w:lvl>
    <w:lvl w:ilvl="7" w:tplc="04180019" w:tentative="1">
      <w:start w:val="1"/>
      <w:numFmt w:val="lowerLetter"/>
      <w:lvlText w:val="%8."/>
      <w:lvlJc w:val="left"/>
      <w:pPr>
        <w:ind w:left="5946" w:hanging="360"/>
      </w:pPr>
    </w:lvl>
    <w:lvl w:ilvl="8" w:tplc="0418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17C0D71"/>
    <w:multiLevelType w:val="hybridMultilevel"/>
    <w:tmpl w:val="CAB05508"/>
    <w:lvl w:ilvl="0" w:tplc="765E87A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8607385"/>
    <w:multiLevelType w:val="hybridMultilevel"/>
    <w:tmpl w:val="F944357E"/>
    <w:lvl w:ilvl="0" w:tplc="4FC6E4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B33193"/>
    <w:multiLevelType w:val="hybridMultilevel"/>
    <w:tmpl w:val="1DBE5FA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80019" w:tentative="1">
      <w:start w:val="1"/>
      <w:numFmt w:val="lowerLetter"/>
      <w:lvlText w:val="%2."/>
      <w:lvlJc w:val="left"/>
      <w:pPr>
        <w:ind w:left="2010" w:hanging="360"/>
      </w:pPr>
    </w:lvl>
    <w:lvl w:ilvl="2" w:tplc="0418001B" w:tentative="1">
      <w:start w:val="1"/>
      <w:numFmt w:val="lowerRoman"/>
      <w:lvlText w:val="%3."/>
      <w:lvlJc w:val="right"/>
      <w:pPr>
        <w:ind w:left="2730" w:hanging="180"/>
      </w:pPr>
    </w:lvl>
    <w:lvl w:ilvl="3" w:tplc="0418000F" w:tentative="1">
      <w:start w:val="1"/>
      <w:numFmt w:val="decimal"/>
      <w:lvlText w:val="%4."/>
      <w:lvlJc w:val="left"/>
      <w:pPr>
        <w:ind w:left="3450" w:hanging="360"/>
      </w:pPr>
    </w:lvl>
    <w:lvl w:ilvl="4" w:tplc="04180019" w:tentative="1">
      <w:start w:val="1"/>
      <w:numFmt w:val="lowerLetter"/>
      <w:lvlText w:val="%5."/>
      <w:lvlJc w:val="left"/>
      <w:pPr>
        <w:ind w:left="4170" w:hanging="360"/>
      </w:pPr>
    </w:lvl>
    <w:lvl w:ilvl="5" w:tplc="0418001B" w:tentative="1">
      <w:start w:val="1"/>
      <w:numFmt w:val="lowerRoman"/>
      <w:lvlText w:val="%6."/>
      <w:lvlJc w:val="right"/>
      <w:pPr>
        <w:ind w:left="4890" w:hanging="180"/>
      </w:pPr>
    </w:lvl>
    <w:lvl w:ilvl="6" w:tplc="0418000F" w:tentative="1">
      <w:start w:val="1"/>
      <w:numFmt w:val="decimal"/>
      <w:lvlText w:val="%7."/>
      <w:lvlJc w:val="left"/>
      <w:pPr>
        <w:ind w:left="5610" w:hanging="360"/>
      </w:pPr>
    </w:lvl>
    <w:lvl w:ilvl="7" w:tplc="04180019" w:tentative="1">
      <w:start w:val="1"/>
      <w:numFmt w:val="lowerLetter"/>
      <w:lvlText w:val="%8."/>
      <w:lvlJc w:val="left"/>
      <w:pPr>
        <w:ind w:left="6330" w:hanging="360"/>
      </w:pPr>
    </w:lvl>
    <w:lvl w:ilvl="8" w:tplc="041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51CB22A4"/>
    <w:multiLevelType w:val="hybridMultilevel"/>
    <w:tmpl w:val="0ED21530"/>
    <w:lvl w:ilvl="0" w:tplc="2E7CA8B4">
      <w:start w:val="1"/>
      <w:numFmt w:val="decimal"/>
      <w:lvlText w:val="%1."/>
      <w:lvlJc w:val="left"/>
      <w:pPr>
        <w:ind w:left="9575" w:hanging="360"/>
      </w:pPr>
      <w:rPr>
        <w:rFonts w:eastAsia="Times New Roman"/>
        <w:b/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039"/>
    <w:multiLevelType w:val="hybridMultilevel"/>
    <w:tmpl w:val="51709218"/>
    <w:lvl w:ilvl="0" w:tplc="4ADEB5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F60A6F"/>
    <w:multiLevelType w:val="hybridMultilevel"/>
    <w:tmpl w:val="2FD08D70"/>
    <w:lvl w:ilvl="0" w:tplc="9C0266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4D3656"/>
    <w:multiLevelType w:val="hybridMultilevel"/>
    <w:tmpl w:val="7D2CA80A"/>
    <w:lvl w:ilvl="0" w:tplc="C46C127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D699C"/>
    <w:multiLevelType w:val="hybridMultilevel"/>
    <w:tmpl w:val="4DCCF182"/>
    <w:lvl w:ilvl="0" w:tplc="645A54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C45A46"/>
    <w:multiLevelType w:val="hybridMultilevel"/>
    <w:tmpl w:val="C888B4E4"/>
    <w:lvl w:ilvl="0" w:tplc="DF069D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718835AE"/>
    <w:multiLevelType w:val="hybridMultilevel"/>
    <w:tmpl w:val="7D1862B4"/>
    <w:lvl w:ilvl="0" w:tplc="1D42C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0A4341"/>
    <w:multiLevelType w:val="hybridMultilevel"/>
    <w:tmpl w:val="C8F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D3C03"/>
    <w:multiLevelType w:val="hybridMultilevel"/>
    <w:tmpl w:val="9960A506"/>
    <w:lvl w:ilvl="0" w:tplc="4790DF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F660C"/>
    <w:multiLevelType w:val="hybridMultilevel"/>
    <w:tmpl w:val="F40AE8B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30" w:hanging="360"/>
      </w:pPr>
    </w:lvl>
    <w:lvl w:ilvl="2" w:tplc="0409001B" w:tentative="1">
      <w:start w:val="1"/>
      <w:numFmt w:val="lowerRoman"/>
      <w:lvlText w:val="%3."/>
      <w:lvlJc w:val="right"/>
      <w:pPr>
        <w:ind w:left="7950" w:hanging="180"/>
      </w:pPr>
    </w:lvl>
    <w:lvl w:ilvl="3" w:tplc="0409000F" w:tentative="1">
      <w:start w:val="1"/>
      <w:numFmt w:val="decimal"/>
      <w:lvlText w:val="%4."/>
      <w:lvlJc w:val="left"/>
      <w:pPr>
        <w:ind w:left="8670" w:hanging="360"/>
      </w:pPr>
    </w:lvl>
    <w:lvl w:ilvl="4" w:tplc="04090019" w:tentative="1">
      <w:start w:val="1"/>
      <w:numFmt w:val="lowerLetter"/>
      <w:lvlText w:val="%5."/>
      <w:lvlJc w:val="left"/>
      <w:pPr>
        <w:ind w:left="9390" w:hanging="360"/>
      </w:pPr>
    </w:lvl>
    <w:lvl w:ilvl="5" w:tplc="0409001B" w:tentative="1">
      <w:start w:val="1"/>
      <w:numFmt w:val="lowerRoman"/>
      <w:lvlText w:val="%6."/>
      <w:lvlJc w:val="right"/>
      <w:pPr>
        <w:ind w:left="10110" w:hanging="180"/>
      </w:pPr>
    </w:lvl>
    <w:lvl w:ilvl="6" w:tplc="0409000F" w:tentative="1">
      <w:start w:val="1"/>
      <w:numFmt w:val="decimal"/>
      <w:lvlText w:val="%7."/>
      <w:lvlJc w:val="left"/>
      <w:pPr>
        <w:ind w:left="10830" w:hanging="360"/>
      </w:pPr>
    </w:lvl>
    <w:lvl w:ilvl="7" w:tplc="04090019" w:tentative="1">
      <w:start w:val="1"/>
      <w:numFmt w:val="lowerLetter"/>
      <w:lvlText w:val="%8."/>
      <w:lvlJc w:val="left"/>
      <w:pPr>
        <w:ind w:left="11550" w:hanging="360"/>
      </w:pPr>
    </w:lvl>
    <w:lvl w:ilvl="8" w:tplc="0409001B" w:tentative="1">
      <w:start w:val="1"/>
      <w:numFmt w:val="lowerRoman"/>
      <w:lvlText w:val="%9."/>
      <w:lvlJc w:val="right"/>
      <w:pPr>
        <w:ind w:left="12270" w:hanging="180"/>
      </w:p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E"/>
    <w:rsid w:val="00064145"/>
    <w:rsid w:val="00077192"/>
    <w:rsid w:val="000C53D6"/>
    <w:rsid w:val="00140797"/>
    <w:rsid w:val="001448FB"/>
    <w:rsid w:val="001551DD"/>
    <w:rsid w:val="001E02C8"/>
    <w:rsid w:val="001E2B72"/>
    <w:rsid w:val="001F4E20"/>
    <w:rsid w:val="00217859"/>
    <w:rsid w:val="002320EA"/>
    <w:rsid w:val="0023374D"/>
    <w:rsid w:val="00234086"/>
    <w:rsid w:val="00237788"/>
    <w:rsid w:val="002674B5"/>
    <w:rsid w:val="00277D4D"/>
    <w:rsid w:val="002904E7"/>
    <w:rsid w:val="00291EB4"/>
    <w:rsid w:val="002A6ECC"/>
    <w:rsid w:val="002B3DF6"/>
    <w:rsid w:val="002B4D1F"/>
    <w:rsid w:val="002D1A53"/>
    <w:rsid w:val="00301342"/>
    <w:rsid w:val="0039004D"/>
    <w:rsid w:val="003B0B81"/>
    <w:rsid w:val="003C56DA"/>
    <w:rsid w:val="003D466A"/>
    <w:rsid w:val="003D5D05"/>
    <w:rsid w:val="003E18FC"/>
    <w:rsid w:val="003F32A8"/>
    <w:rsid w:val="003F4E23"/>
    <w:rsid w:val="00471F9B"/>
    <w:rsid w:val="00477314"/>
    <w:rsid w:val="004863E1"/>
    <w:rsid w:val="0049229D"/>
    <w:rsid w:val="004E504B"/>
    <w:rsid w:val="005259BE"/>
    <w:rsid w:val="00530355"/>
    <w:rsid w:val="00532CE2"/>
    <w:rsid w:val="0056281C"/>
    <w:rsid w:val="00562D7C"/>
    <w:rsid w:val="005640C7"/>
    <w:rsid w:val="00571664"/>
    <w:rsid w:val="00574B05"/>
    <w:rsid w:val="00597A4D"/>
    <w:rsid w:val="005A0E9E"/>
    <w:rsid w:val="005B1897"/>
    <w:rsid w:val="005B6C01"/>
    <w:rsid w:val="005C3742"/>
    <w:rsid w:val="005D19CA"/>
    <w:rsid w:val="005D31E5"/>
    <w:rsid w:val="005E18DB"/>
    <w:rsid w:val="00633A3C"/>
    <w:rsid w:val="00651532"/>
    <w:rsid w:val="00657605"/>
    <w:rsid w:val="006862B4"/>
    <w:rsid w:val="006864EC"/>
    <w:rsid w:val="006B428A"/>
    <w:rsid w:val="006C4EA2"/>
    <w:rsid w:val="006D0F43"/>
    <w:rsid w:val="006D7A3B"/>
    <w:rsid w:val="00700130"/>
    <w:rsid w:val="00710A46"/>
    <w:rsid w:val="0075168D"/>
    <w:rsid w:val="00763CD6"/>
    <w:rsid w:val="00767408"/>
    <w:rsid w:val="00767BD4"/>
    <w:rsid w:val="0077274B"/>
    <w:rsid w:val="00781464"/>
    <w:rsid w:val="00783928"/>
    <w:rsid w:val="007B08EA"/>
    <w:rsid w:val="007C67D6"/>
    <w:rsid w:val="007C7D51"/>
    <w:rsid w:val="007F0D54"/>
    <w:rsid w:val="008029F7"/>
    <w:rsid w:val="008057C5"/>
    <w:rsid w:val="00833694"/>
    <w:rsid w:val="00863AEF"/>
    <w:rsid w:val="008E1BD5"/>
    <w:rsid w:val="008F3C50"/>
    <w:rsid w:val="0090287D"/>
    <w:rsid w:val="009154A7"/>
    <w:rsid w:val="00934F9E"/>
    <w:rsid w:val="00944747"/>
    <w:rsid w:val="00945EEF"/>
    <w:rsid w:val="009466F5"/>
    <w:rsid w:val="009530D4"/>
    <w:rsid w:val="009673C0"/>
    <w:rsid w:val="009979C4"/>
    <w:rsid w:val="00A832E7"/>
    <w:rsid w:val="00A9152D"/>
    <w:rsid w:val="00AA28E1"/>
    <w:rsid w:val="00AA762B"/>
    <w:rsid w:val="00AC1201"/>
    <w:rsid w:val="00AE0895"/>
    <w:rsid w:val="00AF1111"/>
    <w:rsid w:val="00B275A2"/>
    <w:rsid w:val="00B4619A"/>
    <w:rsid w:val="00B56ECA"/>
    <w:rsid w:val="00B7547B"/>
    <w:rsid w:val="00B81161"/>
    <w:rsid w:val="00B83B35"/>
    <w:rsid w:val="00B8508C"/>
    <w:rsid w:val="00BA1DAA"/>
    <w:rsid w:val="00BE3840"/>
    <w:rsid w:val="00BF5E27"/>
    <w:rsid w:val="00BF7048"/>
    <w:rsid w:val="00C21D56"/>
    <w:rsid w:val="00C2217D"/>
    <w:rsid w:val="00C50F7A"/>
    <w:rsid w:val="00C56022"/>
    <w:rsid w:val="00C95CDD"/>
    <w:rsid w:val="00D1089D"/>
    <w:rsid w:val="00D17205"/>
    <w:rsid w:val="00D17721"/>
    <w:rsid w:val="00D538A4"/>
    <w:rsid w:val="00D6342C"/>
    <w:rsid w:val="00D729EB"/>
    <w:rsid w:val="00D74D03"/>
    <w:rsid w:val="00D77965"/>
    <w:rsid w:val="00D85045"/>
    <w:rsid w:val="00DB317C"/>
    <w:rsid w:val="00DD541C"/>
    <w:rsid w:val="00DE244E"/>
    <w:rsid w:val="00E01077"/>
    <w:rsid w:val="00E20857"/>
    <w:rsid w:val="00E221AA"/>
    <w:rsid w:val="00E2548C"/>
    <w:rsid w:val="00EB4A82"/>
    <w:rsid w:val="00ED1B22"/>
    <w:rsid w:val="00EE7CF4"/>
    <w:rsid w:val="00EF0B61"/>
    <w:rsid w:val="00EF6456"/>
    <w:rsid w:val="00F36DC5"/>
    <w:rsid w:val="00F37FB4"/>
    <w:rsid w:val="00F40074"/>
    <w:rsid w:val="00F659F3"/>
    <w:rsid w:val="00FB4BFB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5F4FD3"/>
  <w15:chartTrackingRefBased/>
  <w15:docId w15:val="{482353EF-3D1F-46ED-AF03-3F151FA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4E"/>
  </w:style>
  <w:style w:type="paragraph" w:styleId="Heading1">
    <w:name w:val="heading 1"/>
    <w:basedOn w:val="Normal"/>
    <w:next w:val="Normal"/>
    <w:link w:val="Heading1Char"/>
    <w:uiPriority w:val="9"/>
    <w:qFormat/>
    <w:rsid w:val="007C7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4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4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DE244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DE244E"/>
    <w:rPr>
      <w:rFonts w:ascii="Bookman Old Style" w:eastAsia="Times New Roman" w:hAnsi="Bookman Old Style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244E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DE244E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Data">
    <w:name w:val="Data"/>
    <w:basedOn w:val="Normal"/>
    <w:qFormat/>
    <w:rsid w:val="00DE244E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Body">
    <w:name w:val="Body"/>
    <w:qFormat/>
    <w:rsid w:val="00DE244E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paragraph" w:customStyle="1" w:styleId="Orasul">
    <w:name w:val="Orasul"/>
    <w:qFormat/>
    <w:rsid w:val="00DE244E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9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List Paragraph 1,Scriptoria bullet points"/>
    <w:basedOn w:val="Normal"/>
    <w:link w:val="ListParagraphChar"/>
    <w:uiPriority w:val="34"/>
    <w:qFormat/>
    <w:rsid w:val="00C50F7A"/>
    <w:pPr>
      <w:spacing w:line="256" w:lineRule="auto"/>
      <w:ind w:left="720"/>
      <w:contextualSpacing/>
    </w:pPr>
    <w:rPr>
      <w:lang w:val="ro-RO"/>
    </w:rPr>
  </w:style>
  <w:style w:type="paragraph" w:customStyle="1" w:styleId="tt">
    <w:name w:val="tt"/>
    <w:basedOn w:val="Normal"/>
    <w:rsid w:val="00C50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ListParagraphChar">
    <w:name w:val="List Paragraph Char"/>
    <w:aliases w:val="List Paragraph 1 Char,Scriptoria bullet points Char"/>
    <w:link w:val="ListParagraph"/>
    <w:uiPriority w:val="34"/>
    <w:locked/>
    <w:rsid w:val="00C50F7A"/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2D1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2189</Words>
  <Characters>12700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Turcan Iulia</cp:lastModifiedBy>
  <cp:revision>4</cp:revision>
  <cp:lastPrinted>2023-06-16T10:14:00Z</cp:lastPrinted>
  <dcterms:created xsi:type="dcterms:W3CDTF">2023-12-19T09:57:00Z</dcterms:created>
  <dcterms:modified xsi:type="dcterms:W3CDTF">2024-01-19T14:16:00Z</dcterms:modified>
</cp:coreProperties>
</file>